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0B3" w:rsidRPr="003458D0" w:rsidRDefault="003540B3" w:rsidP="003540B3">
      <w:pPr>
        <w:pStyle w:val="Ttulo1"/>
        <w:ind w:firstLine="708"/>
        <w:jc w:val="both"/>
        <w:rPr>
          <w:rFonts w:ascii="Calibri" w:hAnsi="Calibri"/>
          <w:i w:val="0"/>
          <w:color w:val="595959" w:themeColor="text1" w:themeTint="A6"/>
          <w:sz w:val="26"/>
          <w:szCs w:val="27"/>
        </w:rPr>
      </w:pPr>
      <w:r w:rsidRPr="003458D0">
        <w:rPr>
          <w:rFonts w:ascii="Calibri" w:hAnsi="Calibri"/>
          <w:i w:val="0"/>
          <w:color w:val="595959" w:themeColor="text1" w:themeTint="A6"/>
          <w:sz w:val="26"/>
          <w:szCs w:val="27"/>
        </w:rPr>
        <w:t xml:space="preserve">León, Guanajuato, a </w:t>
      </w:r>
      <w:r>
        <w:rPr>
          <w:rFonts w:ascii="Calibri" w:hAnsi="Calibri"/>
          <w:i w:val="0"/>
          <w:color w:val="595959" w:themeColor="text1" w:themeTint="A6"/>
          <w:sz w:val="26"/>
          <w:szCs w:val="27"/>
        </w:rPr>
        <w:t>30 treinta</w:t>
      </w:r>
      <w:r w:rsidRPr="003458D0">
        <w:rPr>
          <w:rFonts w:ascii="Calibri" w:hAnsi="Calibri"/>
          <w:i w:val="0"/>
          <w:color w:val="595959" w:themeColor="text1" w:themeTint="A6"/>
          <w:sz w:val="26"/>
          <w:szCs w:val="27"/>
        </w:rPr>
        <w:t xml:space="preserve"> de agosto del año 2017 dos mil diecisiete</w:t>
      </w:r>
      <w:r>
        <w:rPr>
          <w:rFonts w:ascii="Calibri" w:hAnsi="Calibri"/>
          <w:b w:val="0"/>
          <w:bCs w:val="0"/>
          <w:i w:val="0"/>
          <w:iCs w:val="0"/>
          <w:color w:val="595959" w:themeColor="text1" w:themeTint="A6"/>
          <w:sz w:val="26"/>
          <w:szCs w:val="27"/>
        </w:rPr>
        <w:t xml:space="preserve">. </w:t>
      </w:r>
    </w:p>
    <w:p w:rsidR="003540B3" w:rsidRPr="003458D0" w:rsidRDefault="003540B3" w:rsidP="003540B3">
      <w:pPr>
        <w:rPr>
          <w:rFonts w:ascii="Calibri" w:hAnsi="Calibri"/>
          <w:color w:val="595959" w:themeColor="text1" w:themeTint="A6"/>
          <w:sz w:val="22"/>
          <w:szCs w:val="27"/>
          <w:lang w:val="es-MX"/>
        </w:rPr>
      </w:pPr>
    </w:p>
    <w:p w:rsidR="003540B3" w:rsidRPr="003458D0" w:rsidRDefault="003540B3" w:rsidP="003540B3">
      <w:pPr>
        <w:pStyle w:val="Textoindependiente"/>
        <w:ind w:firstLine="708"/>
        <w:rPr>
          <w:rFonts w:ascii="Calibri" w:hAnsi="Calibri" w:cs="Arial"/>
          <w:color w:val="595959" w:themeColor="text1" w:themeTint="A6"/>
          <w:sz w:val="26"/>
          <w:szCs w:val="27"/>
        </w:rPr>
      </w:pPr>
      <w:r w:rsidRPr="003458D0">
        <w:rPr>
          <w:rFonts w:ascii="Calibri" w:hAnsi="Calibri" w:cs="Arial"/>
          <w:b/>
          <w:bCs/>
          <w:i/>
          <w:iCs/>
          <w:color w:val="595959" w:themeColor="text1" w:themeTint="A6"/>
          <w:sz w:val="26"/>
          <w:szCs w:val="27"/>
        </w:rPr>
        <w:t xml:space="preserve">V I S T O S </w:t>
      </w:r>
      <w:r w:rsidRPr="003458D0">
        <w:rPr>
          <w:rFonts w:ascii="Calibri" w:hAnsi="Calibri" w:cs="Arial"/>
          <w:bCs/>
          <w:iCs/>
          <w:color w:val="595959" w:themeColor="text1" w:themeTint="A6"/>
          <w:sz w:val="26"/>
          <w:szCs w:val="27"/>
        </w:rPr>
        <w:t xml:space="preserve">para dictar sentencia definitiva, </w:t>
      </w:r>
      <w:r w:rsidRPr="003458D0">
        <w:rPr>
          <w:rFonts w:ascii="Calibri" w:hAnsi="Calibri" w:cs="Arial"/>
          <w:color w:val="595959" w:themeColor="text1" w:themeTint="A6"/>
          <w:sz w:val="26"/>
          <w:szCs w:val="27"/>
        </w:rPr>
        <w:t xml:space="preserve">los autos del proceso administrativo identificado con el número </w:t>
      </w:r>
      <w:r w:rsidRPr="003458D0">
        <w:rPr>
          <w:rFonts w:ascii="Calibri" w:hAnsi="Calibri" w:cs="Arial"/>
          <w:b/>
          <w:color w:val="595959" w:themeColor="text1" w:themeTint="A6"/>
          <w:sz w:val="26"/>
          <w:szCs w:val="27"/>
        </w:rPr>
        <w:t>450</w:t>
      </w:r>
      <w:r w:rsidRPr="003458D0">
        <w:rPr>
          <w:rFonts w:ascii="Calibri" w:hAnsi="Calibri" w:cs="Arial"/>
          <w:b/>
          <w:bCs/>
          <w:iCs/>
          <w:color w:val="595959" w:themeColor="text1" w:themeTint="A6"/>
          <w:sz w:val="26"/>
          <w:szCs w:val="27"/>
        </w:rPr>
        <w:t>/2016-</w:t>
      </w:r>
      <w:r w:rsidRPr="003458D0">
        <w:rPr>
          <w:rFonts w:ascii="Calibri" w:hAnsi="Calibri" w:cs="Arial"/>
          <w:b/>
          <w:iCs/>
          <w:color w:val="595959" w:themeColor="text1" w:themeTint="A6"/>
          <w:sz w:val="26"/>
          <w:szCs w:val="27"/>
        </w:rPr>
        <w:t>JN</w:t>
      </w:r>
      <w:r w:rsidRPr="003458D0">
        <w:rPr>
          <w:rFonts w:ascii="Calibri" w:hAnsi="Calibri" w:cs="Arial"/>
          <w:color w:val="595959" w:themeColor="text1" w:themeTint="A6"/>
          <w:sz w:val="26"/>
          <w:szCs w:val="27"/>
        </w:rPr>
        <w:t xml:space="preserve">, promovido por el ciudadano </w:t>
      </w:r>
      <w:r>
        <w:rPr>
          <w:rFonts w:ascii="Calibri" w:hAnsi="Calibri" w:cs="Arial"/>
          <w:b/>
          <w:color w:val="595959" w:themeColor="text1" w:themeTint="A6"/>
          <w:sz w:val="26"/>
          <w:szCs w:val="27"/>
        </w:rPr>
        <w:t>*****</w:t>
      </w:r>
      <w:r w:rsidRPr="003458D0">
        <w:rPr>
          <w:rFonts w:ascii="Calibri" w:hAnsi="Calibri" w:cs="Arial"/>
          <w:b/>
          <w:bCs/>
          <w:iCs/>
          <w:color w:val="595959" w:themeColor="text1" w:themeTint="A6"/>
          <w:sz w:val="26"/>
          <w:szCs w:val="27"/>
        </w:rPr>
        <w:t>;</w:t>
      </w:r>
      <w:r w:rsidRPr="003458D0">
        <w:rPr>
          <w:rFonts w:ascii="Calibri" w:hAnsi="Calibri" w:cs="Arial"/>
          <w:color w:val="595959" w:themeColor="text1" w:themeTint="A6"/>
          <w:sz w:val="26"/>
          <w:szCs w:val="27"/>
        </w:rPr>
        <w:t xml:space="preserve"> y,. . . . . . . . . . . . . . . . . . . . . . . . . . . . . . . . . . . . . </w:t>
      </w:r>
    </w:p>
    <w:p w:rsidR="003540B3" w:rsidRPr="003458D0" w:rsidRDefault="003540B3" w:rsidP="003540B3">
      <w:pPr>
        <w:jc w:val="both"/>
        <w:rPr>
          <w:rFonts w:ascii="Calibri" w:hAnsi="Calibri" w:cs="Arial"/>
          <w:color w:val="595959" w:themeColor="text1" w:themeTint="A6"/>
          <w:sz w:val="22"/>
          <w:szCs w:val="27"/>
        </w:rPr>
      </w:pPr>
    </w:p>
    <w:p w:rsidR="003540B3" w:rsidRPr="003458D0" w:rsidRDefault="003540B3" w:rsidP="003540B3">
      <w:pPr>
        <w:pStyle w:val="Textoindependiente"/>
        <w:ind w:firstLine="708"/>
        <w:jc w:val="center"/>
        <w:rPr>
          <w:rFonts w:ascii="Calibri" w:hAnsi="Calibri" w:cs="Arial"/>
          <w:b/>
          <w:bCs/>
          <w:i/>
          <w:iCs/>
          <w:color w:val="595959" w:themeColor="text1" w:themeTint="A6"/>
          <w:sz w:val="26"/>
          <w:szCs w:val="27"/>
        </w:rPr>
      </w:pPr>
      <w:r w:rsidRPr="003458D0">
        <w:rPr>
          <w:rFonts w:ascii="Calibri" w:hAnsi="Calibri" w:cs="Arial"/>
          <w:b/>
          <w:bCs/>
          <w:i/>
          <w:iCs/>
          <w:color w:val="595959" w:themeColor="text1" w:themeTint="A6"/>
          <w:sz w:val="26"/>
          <w:szCs w:val="27"/>
        </w:rPr>
        <w:t xml:space="preserve">C O N S I D E R A N D </w:t>
      </w:r>
      <w:proofErr w:type="gramStart"/>
      <w:r w:rsidRPr="003458D0">
        <w:rPr>
          <w:rFonts w:ascii="Calibri" w:hAnsi="Calibri" w:cs="Arial"/>
          <w:b/>
          <w:bCs/>
          <w:i/>
          <w:iCs/>
          <w:color w:val="595959" w:themeColor="text1" w:themeTint="A6"/>
          <w:sz w:val="26"/>
          <w:szCs w:val="27"/>
        </w:rPr>
        <w:t>O :</w:t>
      </w:r>
      <w:proofErr w:type="gramEnd"/>
    </w:p>
    <w:p w:rsidR="003540B3" w:rsidRPr="003458D0" w:rsidRDefault="003540B3" w:rsidP="003540B3">
      <w:pPr>
        <w:pStyle w:val="Textoindependiente"/>
        <w:ind w:firstLine="708"/>
        <w:jc w:val="center"/>
        <w:rPr>
          <w:rFonts w:ascii="Calibri" w:hAnsi="Calibri" w:cs="Arial"/>
          <w:b/>
          <w:bCs/>
          <w:color w:val="595959" w:themeColor="text1" w:themeTint="A6"/>
          <w:sz w:val="22"/>
          <w:szCs w:val="27"/>
        </w:rPr>
      </w:pPr>
    </w:p>
    <w:p w:rsidR="003540B3" w:rsidRPr="003458D0" w:rsidRDefault="003540B3" w:rsidP="003540B3">
      <w:pPr>
        <w:pStyle w:val="Textoindependiente"/>
        <w:ind w:firstLine="708"/>
        <w:rPr>
          <w:rFonts w:ascii="Calibri" w:hAnsi="Calibri" w:cs="Arial"/>
          <w:color w:val="595959" w:themeColor="text1" w:themeTint="A6"/>
          <w:sz w:val="26"/>
          <w:szCs w:val="27"/>
        </w:rPr>
      </w:pPr>
      <w:r w:rsidRPr="003458D0">
        <w:rPr>
          <w:rFonts w:ascii="Calibri" w:hAnsi="Calibri" w:cs="Arial"/>
          <w:b/>
          <w:bCs/>
          <w:i/>
          <w:iCs/>
          <w:color w:val="595959" w:themeColor="text1" w:themeTint="A6"/>
          <w:sz w:val="26"/>
          <w:szCs w:val="27"/>
        </w:rPr>
        <w:t>SEGUNDO</w:t>
      </w:r>
      <w:r w:rsidRPr="003458D0">
        <w:rPr>
          <w:rFonts w:ascii="Calibri" w:hAnsi="Calibri" w:cs="Arial"/>
          <w:b/>
          <w:bCs/>
          <w:color w:val="595959" w:themeColor="text1" w:themeTint="A6"/>
          <w:sz w:val="26"/>
          <w:szCs w:val="27"/>
        </w:rPr>
        <w:t xml:space="preserve">.- </w:t>
      </w:r>
      <w:r w:rsidRPr="003458D0">
        <w:rPr>
          <w:rFonts w:ascii="Calibri" w:hAnsi="Calibri" w:cs="Arial"/>
          <w:color w:val="595959" w:themeColor="text1" w:themeTint="A6"/>
          <w:sz w:val="26"/>
          <w:szCs w:val="27"/>
        </w:rPr>
        <w:t>El presente proceso fue promovido oportunamente, toda vez que la demanda fue presentada dentro de los 30 treinta días hábiles siguientes a aquellos en que tuvo conocimiento de los actos impugnados, la parte actora, lo que fueron los días 17 diecisiete y 27 veintisiete de mayo del año 2016 dos mil dieciséis; según lo refirió en su demanda, sin que de las constancias que integran la presente causa administrativa, se desprenda lo contrario</w:t>
      </w:r>
      <w:r w:rsidRPr="003458D0">
        <w:rPr>
          <w:rFonts w:ascii="Calibri" w:hAnsi="Calibri"/>
          <w:color w:val="595959" w:themeColor="text1" w:themeTint="A6"/>
          <w:sz w:val="26"/>
          <w:szCs w:val="27"/>
        </w:rPr>
        <w:t xml:space="preserve">. . . . . . . . . . . . . . . . . . . </w:t>
      </w:r>
    </w:p>
    <w:p w:rsidR="003540B3" w:rsidRPr="003458D0" w:rsidRDefault="003540B3" w:rsidP="003540B3">
      <w:pPr>
        <w:jc w:val="both"/>
        <w:rPr>
          <w:rFonts w:ascii="Calibri" w:hAnsi="Calibri"/>
          <w:b/>
          <w:i/>
          <w:iCs/>
          <w:color w:val="595959" w:themeColor="text1" w:themeTint="A6"/>
          <w:sz w:val="26"/>
          <w:szCs w:val="27"/>
          <w:lang w:val="es-MX"/>
        </w:rPr>
      </w:pPr>
    </w:p>
    <w:p w:rsidR="003540B3" w:rsidRPr="003458D0" w:rsidRDefault="003540B3" w:rsidP="003540B3">
      <w:pPr>
        <w:ind w:firstLine="708"/>
        <w:jc w:val="both"/>
        <w:rPr>
          <w:rFonts w:ascii="Calibri" w:hAnsi="Calibri"/>
          <w:color w:val="595959" w:themeColor="text1" w:themeTint="A6"/>
          <w:sz w:val="26"/>
          <w:szCs w:val="27"/>
        </w:rPr>
      </w:pPr>
      <w:r w:rsidRPr="003458D0">
        <w:rPr>
          <w:rFonts w:ascii="Calibri" w:hAnsi="Calibri"/>
          <w:b/>
          <w:i/>
          <w:iCs/>
          <w:color w:val="595959" w:themeColor="text1" w:themeTint="A6"/>
          <w:sz w:val="26"/>
          <w:szCs w:val="27"/>
        </w:rPr>
        <w:t xml:space="preserve">TERCERO.- </w:t>
      </w:r>
      <w:r w:rsidRPr="003458D0">
        <w:rPr>
          <w:rFonts w:ascii="Calibri" w:hAnsi="Calibri"/>
          <w:color w:val="595959" w:themeColor="text1" w:themeTint="A6"/>
          <w:sz w:val="26"/>
          <w:szCs w:val="27"/>
        </w:rPr>
        <w:t xml:space="preserve">La existencia de los actos impugnados en la presente causa administrativa, consistentes la </w:t>
      </w:r>
      <w:r w:rsidRPr="003458D0">
        <w:rPr>
          <w:rFonts w:ascii="Calibri" w:hAnsi="Calibri"/>
          <w:bCs/>
          <w:color w:val="595959" w:themeColor="text1" w:themeTint="A6"/>
          <w:sz w:val="26"/>
          <w:szCs w:val="27"/>
        </w:rPr>
        <w:t>omisión de expedir la orden de valuación</w:t>
      </w:r>
      <w:r w:rsidRPr="003458D0">
        <w:rPr>
          <w:rFonts w:ascii="Calibri" w:hAnsi="Calibri"/>
          <w:b/>
          <w:bCs/>
          <w:color w:val="595959" w:themeColor="text1" w:themeTint="A6"/>
          <w:sz w:val="26"/>
          <w:szCs w:val="27"/>
        </w:rPr>
        <w:t xml:space="preserve"> </w:t>
      </w:r>
      <w:r w:rsidRPr="003458D0">
        <w:rPr>
          <w:rFonts w:ascii="Calibri" w:hAnsi="Calibri"/>
          <w:bCs/>
          <w:color w:val="595959" w:themeColor="text1" w:themeTint="A6"/>
          <w:sz w:val="26"/>
          <w:szCs w:val="27"/>
        </w:rPr>
        <w:t>a 2 dos inmuebles;</w:t>
      </w:r>
      <w:r w:rsidRPr="003458D0">
        <w:rPr>
          <w:rFonts w:ascii="Calibri" w:hAnsi="Calibri"/>
          <w:b/>
          <w:bCs/>
          <w:color w:val="595959" w:themeColor="text1" w:themeTint="A6"/>
          <w:sz w:val="26"/>
          <w:szCs w:val="27"/>
        </w:rPr>
        <w:t xml:space="preserve"> </w:t>
      </w:r>
      <w:r w:rsidRPr="003458D0">
        <w:rPr>
          <w:rFonts w:ascii="Calibri" w:hAnsi="Calibri"/>
          <w:bCs/>
          <w:color w:val="595959" w:themeColor="text1" w:themeTint="A6"/>
          <w:sz w:val="26"/>
          <w:szCs w:val="27"/>
        </w:rPr>
        <w:t xml:space="preserve">el avalúo o valor fiscal asignado a dichos inmuebles, y el procedimiento del mismo; respecto de 2 dos inmuebles denominados </w:t>
      </w:r>
      <w:r w:rsidRPr="003458D0">
        <w:rPr>
          <w:rFonts w:ascii="Calibri" w:hAnsi="Calibri"/>
          <w:bCs/>
          <w:i/>
          <w:color w:val="595959" w:themeColor="text1" w:themeTint="A6"/>
          <w:sz w:val="26"/>
          <w:szCs w:val="27"/>
        </w:rPr>
        <w:t>“Las Liebres”,</w:t>
      </w:r>
      <w:r w:rsidRPr="003458D0">
        <w:rPr>
          <w:rFonts w:ascii="Calibri" w:hAnsi="Calibri"/>
          <w:bCs/>
          <w:color w:val="595959" w:themeColor="text1" w:themeTint="A6"/>
          <w:sz w:val="26"/>
          <w:szCs w:val="27"/>
        </w:rPr>
        <w:t xml:space="preserve"> ubicados ambos en el Bulevar Adolfo López Mateos, colonia Barrio de Guadalupe de esta ciudad; con cuentas prediales números  04 S 000130-002 (Cero cuatro letra S cero-cero-cero-uno-tres-cero- </w:t>
      </w:r>
      <w:proofErr w:type="spellStart"/>
      <w:r w:rsidRPr="003458D0">
        <w:rPr>
          <w:rFonts w:ascii="Calibri" w:hAnsi="Calibri"/>
          <w:bCs/>
          <w:color w:val="595959" w:themeColor="text1" w:themeTint="A6"/>
          <w:sz w:val="26"/>
          <w:szCs w:val="27"/>
        </w:rPr>
        <w:t>guión</w:t>
      </w:r>
      <w:proofErr w:type="spellEnd"/>
      <w:r w:rsidRPr="003458D0">
        <w:rPr>
          <w:rFonts w:ascii="Calibri" w:hAnsi="Calibri"/>
          <w:bCs/>
          <w:color w:val="595959" w:themeColor="text1" w:themeTint="A6"/>
          <w:sz w:val="26"/>
          <w:szCs w:val="27"/>
        </w:rPr>
        <w:t xml:space="preserve"> cero-cero-dos); y 04 S 000130-001 (Cero cuatro letra S cero-cero-cero-uno-tres-cero- </w:t>
      </w:r>
      <w:proofErr w:type="spellStart"/>
      <w:r w:rsidRPr="003458D0">
        <w:rPr>
          <w:rFonts w:ascii="Calibri" w:hAnsi="Calibri"/>
          <w:bCs/>
          <w:color w:val="595959" w:themeColor="text1" w:themeTint="A6"/>
          <w:sz w:val="26"/>
          <w:szCs w:val="27"/>
        </w:rPr>
        <w:t>guión</w:t>
      </w:r>
      <w:proofErr w:type="spellEnd"/>
      <w:r w:rsidRPr="003458D0">
        <w:rPr>
          <w:rFonts w:ascii="Calibri" w:hAnsi="Calibri"/>
          <w:bCs/>
          <w:color w:val="595959" w:themeColor="text1" w:themeTint="A6"/>
          <w:sz w:val="26"/>
          <w:szCs w:val="27"/>
        </w:rPr>
        <w:t xml:space="preserve"> cero-cero-uno); por las cantidades de $ 3’190,000.00 (Tres millones ciento noventa mil pesos 00/100 Moneda Nacional); y $ 14’594,333.00 (Catorce millones quinientos noventa y cuatro mil trescientos treinta y tres pesos 00/100 Moneda Nacional); así como la determinación del impuesto para el ejercicio fiscal del año 2016 dos mil dieciséis;  y de los años 2010 dos mil diez al 2015 dos mil quince, de 2 dos inmuebles, por las cantidades de $ 104,330.66 ciento cuatro mil trescientos treinta pesos (66/100 Moneda Nacional), y 1,103,323.08 (Un millón ciento tres mil trescientos veintitrés pesos 08/100 Moneda </w:t>
      </w:r>
      <w:r>
        <w:rPr>
          <w:rFonts w:ascii="Calibri" w:hAnsi="Calibri"/>
          <w:bCs/>
          <w:color w:val="595959" w:themeColor="text1" w:themeTint="A6"/>
          <w:sz w:val="26"/>
          <w:szCs w:val="27"/>
        </w:rPr>
        <w:t xml:space="preserve">  </w:t>
      </w:r>
      <w:r w:rsidRPr="003458D0">
        <w:rPr>
          <w:rFonts w:ascii="Calibri" w:hAnsi="Calibri"/>
          <w:bCs/>
          <w:color w:val="595959" w:themeColor="text1" w:themeTint="A6"/>
          <w:sz w:val="26"/>
          <w:szCs w:val="27"/>
        </w:rPr>
        <w:t>Nacional)</w:t>
      </w:r>
      <w:r w:rsidRPr="003458D0">
        <w:rPr>
          <w:rFonts w:ascii="Calibri" w:hAnsi="Calibri"/>
          <w:color w:val="595959" w:themeColor="text1" w:themeTint="A6"/>
          <w:sz w:val="26"/>
          <w:szCs w:val="27"/>
        </w:rPr>
        <w:t xml:space="preserve">; </w:t>
      </w:r>
      <w:r>
        <w:rPr>
          <w:rFonts w:ascii="Calibri" w:hAnsi="Calibri"/>
          <w:color w:val="595959" w:themeColor="text1" w:themeTint="A6"/>
          <w:sz w:val="26"/>
          <w:szCs w:val="27"/>
        </w:rPr>
        <w:t xml:space="preserve">  </w:t>
      </w:r>
      <w:r w:rsidRPr="003458D0">
        <w:rPr>
          <w:rFonts w:ascii="Calibri" w:hAnsi="Calibri"/>
          <w:color w:val="595959" w:themeColor="text1" w:themeTint="A6"/>
          <w:sz w:val="26"/>
          <w:szCs w:val="27"/>
        </w:rPr>
        <w:t xml:space="preserve">se </w:t>
      </w:r>
      <w:r>
        <w:rPr>
          <w:rFonts w:ascii="Calibri" w:hAnsi="Calibri"/>
          <w:color w:val="595959" w:themeColor="text1" w:themeTint="A6"/>
          <w:sz w:val="26"/>
          <w:szCs w:val="27"/>
        </w:rPr>
        <w:t xml:space="preserve">  </w:t>
      </w:r>
      <w:r w:rsidRPr="003458D0">
        <w:rPr>
          <w:rFonts w:ascii="Calibri" w:hAnsi="Calibri"/>
          <w:color w:val="595959" w:themeColor="text1" w:themeTint="A6"/>
          <w:sz w:val="26"/>
          <w:szCs w:val="27"/>
        </w:rPr>
        <w:t xml:space="preserve">encuentra </w:t>
      </w:r>
      <w:r>
        <w:rPr>
          <w:rFonts w:ascii="Calibri" w:hAnsi="Calibri"/>
          <w:color w:val="595959" w:themeColor="text1" w:themeTint="A6"/>
          <w:sz w:val="26"/>
          <w:szCs w:val="27"/>
        </w:rPr>
        <w:t xml:space="preserve">  </w:t>
      </w:r>
      <w:r w:rsidRPr="003458D0">
        <w:rPr>
          <w:rFonts w:ascii="Calibri" w:hAnsi="Calibri"/>
          <w:color w:val="595959" w:themeColor="text1" w:themeTint="A6"/>
          <w:sz w:val="26"/>
          <w:szCs w:val="27"/>
        </w:rPr>
        <w:t>acreditada</w:t>
      </w:r>
      <w:r>
        <w:rPr>
          <w:rFonts w:ascii="Calibri" w:hAnsi="Calibri"/>
          <w:color w:val="595959" w:themeColor="text1" w:themeTint="A6"/>
          <w:sz w:val="26"/>
          <w:szCs w:val="27"/>
        </w:rPr>
        <w:t xml:space="preserve"> </w:t>
      </w:r>
      <w:r w:rsidRPr="003458D0">
        <w:rPr>
          <w:rFonts w:ascii="Calibri" w:hAnsi="Calibri"/>
          <w:color w:val="595959" w:themeColor="text1" w:themeTint="A6"/>
          <w:sz w:val="26"/>
          <w:szCs w:val="27"/>
        </w:rPr>
        <w:t xml:space="preserve"> </w:t>
      </w:r>
      <w:r>
        <w:rPr>
          <w:rFonts w:ascii="Calibri" w:hAnsi="Calibri"/>
          <w:color w:val="595959" w:themeColor="text1" w:themeTint="A6"/>
          <w:sz w:val="26"/>
          <w:szCs w:val="27"/>
        </w:rPr>
        <w:t xml:space="preserve"> </w:t>
      </w:r>
      <w:r w:rsidRPr="003458D0">
        <w:rPr>
          <w:rFonts w:ascii="Calibri" w:hAnsi="Calibri"/>
          <w:color w:val="595959" w:themeColor="text1" w:themeTint="A6"/>
          <w:sz w:val="26"/>
          <w:szCs w:val="27"/>
        </w:rPr>
        <w:t xml:space="preserve">con </w:t>
      </w:r>
      <w:r>
        <w:rPr>
          <w:rFonts w:ascii="Calibri" w:hAnsi="Calibri"/>
          <w:color w:val="595959" w:themeColor="text1" w:themeTint="A6"/>
          <w:sz w:val="26"/>
          <w:szCs w:val="27"/>
        </w:rPr>
        <w:t xml:space="preserve"> </w:t>
      </w:r>
      <w:r w:rsidRPr="003458D0">
        <w:rPr>
          <w:rFonts w:ascii="Calibri" w:hAnsi="Calibri"/>
          <w:color w:val="595959" w:themeColor="text1" w:themeTint="A6"/>
          <w:sz w:val="26"/>
          <w:szCs w:val="27"/>
        </w:rPr>
        <w:t xml:space="preserve">las </w:t>
      </w:r>
      <w:r>
        <w:rPr>
          <w:rFonts w:ascii="Calibri" w:hAnsi="Calibri"/>
          <w:color w:val="595959" w:themeColor="text1" w:themeTint="A6"/>
          <w:sz w:val="26"/>
          <w:szCs w:val="27"/>
        </w:rPr>
        <w:t xml:space="preserve"> </w:t>
      </w:r>
      <w:r w:rsidRPr="003458D0">
        <w:rPr>
          <w:rFonts w:ascii="Calibri" w:hAnsi="Calibri"/>
          <w:color w:val="595959" w:themeColor="text1" w:themeTint="A6"/>
          <w:sz w:val="26"/>
          <w:szCs w:val="27"/>
        </w:rPr>
        <w:t>documentales</w:t>
      </w:r>
      <w:r>
        <w:rPr>
          <w:rFonts w:ascii="Calibri" w:hAnsi="Calibri"/>
          <w:color w:val="595959" w:themeColor="text1" w:themeTint="A6"/>
          <w:sz w:val="26"/>
          <w:szCs w:val="27"/>
        </w:rPr>
        <w:t xml:space="preserve"> </w:t>
      </w:r>
      <w:r w:rsidRPr="003458D0">
        <w:rPr>
          <w:rFonts w:ascii="Calibri" w:hAnsi="Calibri"/>
          <w:color w:val="595959" w:themeColor="text1" w:themeTint="A6"/>
          <w:sz w:val="26"/>
          <w:szCs w:val="27"/>
        </w:rPr>
        <w:t xml:space="preserve"> siguientes: . . . . . . . . . . . . . . . . . . . . . . . . . . . . . . . </w:t>
      </w:r>
      <w:r>
        <w:rPr>
          <w:rFonts w:ascii="Calibri" w:hAnsi="Calibri" w:cs="Arial"/>
          <w:color w:val="595959" w:themeColor="text1" w:themeTint="A6"/>
          <w:sz w:val="26"/>
          <w:szCs w:val="27"/>
        </w:rPr>
        <w:t>. . . . . . . . . . . . . . . . . . . . . .</w:t>
      </w:r>
      <w:r w:rsidRPr="00010D11">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w:t>
      </w:r>
    </w:p>
    <w:p w:rsidR="003540B3" w:rsidRPr="003458D0" w:rsidRDefault="003540B3" w:rsidP="003540B3">
      <w:pPr>
        <w:ind w:firstLine="708"/>
        <w:jc w:val="both"/>
        <w:rPr>
          <w:rFonts w:ascii="Calibri" w:hAnsi="Calibri"/>
          <w:color w:val="595959" w:themeColor="text1" w:themeTint="A6"/>
          <w:sz w:val="26"/>
          <w:szCs w:val="27"/>
        </w:rPr>
      </w:pPr>
    </w:p>
    <w:p w:rsidR="003540B3" w:rsidRPr="003458D0" w:rsidRDefault="003540B3" w:rsidP="003540B3">
      <w:pPr>
        <w:ind w:firstLine="708"/>
        <w:jc w:val="both"/>
        <w:rPr>
          <w:rFonts w:ascii="Calibri" w:hAnsi="Calibri"/>
          <w:color w:val="595959" w:themeColor="text1" w:themeTint="A6"/>
          <w:sz w:val="26"/>
          <w:szCs w:val="27"/>
        </w:rPr>
      </w:pPr>
      <w:r w:rsidRPr="003458D0">
        <w:rPr>
          <w:rFonts w:ascii="Calibri" w:hAnsi="Calibri"/>
          <w:color w:val="595959" w:themeColor="text1" w:themeTint="A6"/>
          <w:sz w:val="26"/>
          <w:szCs w:val="27"/>
        </w:rPr>
        <w:t xml:space="preserve">a).- Los estados de cuenta del impuesto predial que abarcan desde el año 2010 dos mil diez, obtenidos el 24 veinticuatro de mayo de este año, respecto de </w:t>
      </w:r>
      <w:r w:rsidRPr="003458D0">
        <w:rPr>
          <w:rFonts w:ascii="Calibri" w:hAnsi="Calibri"/>
          <w:bCs/>
          <w:color w:val="595959" w:themeColor="text1" w:themeTint="A6"/>
          <w:sz w:val="26"/>
          <w:szCs w:val="27"/>
        </w:rPr>
        <w:t xml:space="preserve">2 dos inmuebles denominados </w:t>
      </w:r>
      <w:r w:rsidRPr="003458D0">
        <w:rPr>
          <w:rFonts w:ascii="Calibri" w:hAnsi="Calibri"/>
          <w:bCs/>
          <w:i/>
          <w:color w:val="595959" w:themeColor="text1" w:themeTint="A6"/>
          <w:sz w:val="26"/>
          <w:szCs w:val="27"/>
        </w:rPr>
        <w:t>“Las Liebres”,</w:t>
      </w:r>
      <w:r w:rsidRPr="003458D0">
        <w:rPr>
          <w:rFonts w:ascii="Calibri" w:hAnsi="Calibri"/>
          <w:bCs/>
          <w:color w:val="595959" w:themeColor="text1" w:themeTint="A6"/>
          <w:sz w:val="26"/>
          <w:szCs w:val="27"/>
        </w:rPr>
        <w:t xml:space="preserve"> ubicados ambos en el Bulevar Adolfo López Mateos, colonia Barrio de Guadalupe de esta ciudad; con cuentas prediales números  04 S 000130-002 (Cero cuatro letra S cero-cero-cero-uno-tres-cero- </w:t>
      </w:r>
      <w:proofErr w:type="spellStart"/>
      <w:r w:rsidRPr="003458D0">
        <w:rPr>
          <w:rFonts w:ascii="Calibri" w:hAnsi="Calibri"/>
          <w:bCs/>
          <w:color w:val="595959" w:themeColor="text1" w:themeTint="A6"/>
          <w:sz w:val="26"/>
          <w:szCs w:val="27"/>
        </w:rPr>
        <w:t>guión</w:t>
      </w:r>
      <w:proofErr w:type="spellEnd"/>
      <w:r w:rsidRPr="003458D0">
        <w:rPr>
          <w:rFonts w:ascii="Calibri" w:hAnsi="Calibri"/>
          <w:bCs/>
          <w:color w:val="595959" w:themeColor="text1" w:themeTint="A6"/>
          <w:sz w:val="26"/>
          <w:szCs w:val="27"/>
        </w:rPr>
        <w:t xml:space="preserve"> cero-cero-dos); y 04 S 000130-001 (Cero cuatro letra S cero-cero-cero-uno-tres-cero- </w:t>
      </w:r>
      <w:proofErr w:type="spellStart"/>
      <w:r w:rsidRPr="003458D0">
        <w:rPr>
          <w:rFonts w:ascii="Calibri" w:hAnsi="Calibri"/>
          <w:bCs/>
          <w:color w:val="595959" w:themeColor="text1" w:themeTint="A6"/>
          <w:sz w:val="26"/>
          <w:szCs w:val="27"/>
        </w:rPr>
        <w:t>guión</w:t>
      </w:r>
      <w:proofErr w:type="spellEnd"/>
      <w:r w:rsidRPr="003458D0">
        <w:rPr>
          <w:rFonts w:ascii="Calibri" w:hAnsi="Calibri"/>
          <w:bCs/>
          <w:color w:val="595959" w:themeColor="text1" w:themeTint="A6"/>
          <w:sz w:val="26"/>
          <w:szCs w:val="27"/>
        </w:rPr>
        <w:t xml:space="preserve"> cero-cero-uno); que obra en original en el secreto y es v</w:t>
      </w:r>
      <w:r w:rsidRPr="003458D0">
        <w:rPr>
          <w:rFonts w:ascii="Calibri" w:hAnsi="Calibri"/>
          <w:color w:val="595959" w:themeColor="text1" w:themeTint="A6"/>
          <w:sz w:val="26"/>
          <w:szCs w:val="27"/>
        </w:rPr>
        <w:t xml:space="preserve">isible en el expediente en copia certificada a foja 28 veintiocho del expediente. . </w:t>
      </w:r>
      <w:r w:rsidRPr="003458D0">
        <w:rPr>
          <w:rFonts w:ascii="Calibri" w:hAnsi="Calibri" w:cs="Arial"/>
          <w:color w:val="595959" w:themeColor="text1" w:themeTint="A6"/>
          <w:sz w:val="26"/>
          <w:szCs w:val="27"/>
        </w:rPr>
        <w:t xml:space="preserve">. . . . . .  </w:t>
      </w:r>
      <w:r>
        <w:rPr>
          <w:rFonts w:ascii="Calibri" w:hAnsi="Calibri" w:cs="Arial"/>
          <w:color w:val="595959" w:themeColor="text1" w:themeTint="A6"/>
          <w:sz w:val="26"/>
          <w:szCs w:val="27"/>
        </w:rPr>
        <w:t xml:space="preserve">. . </w:t>
      </w:r>
    </w:p>
    <w:p w:rsidR="003540B3" w:rsidRPr="003458D0" w:rsidRDefault="003540B3" w:rsidP="003540B3">
      <w:pPr>
        <w:ind w:firstLine="708"/>
        <w:jc w:val="both"/>
        <w:rPr>
          <w:rFonts w:ascii="Calibri" w:hAnsi="Calibri"/>
          <w:color w:val="595959" w:themeColor="text1" w:themeTint="A6"/>
          <w:sz w:val="26"/>
          <w:szCs w:val="27"/>
        </w:rPr>
      </w:pPr>
    </w:p>
    <w:p w:rsidR="003540B3" w:rsidRPr="003458D0" w:rsidRDefault="003540B3" w:rsidP="003540B3">
      <w:pPr>
        <w:ind w:firstLine="708"/>
        <w:jc w:val="both"/>
        <w:rPr>
          <w:rFonts w:ascii="Calibri" w:hAnsi="Calibri"/>
          <w:color w:val="595959" w:themeColor="text1" w:themeTint="A6"/>
          <w:sz w:val="26"/>
          <w:szCs w:val="27"/>
        </w:rPr>
      </w:pPr>
      <w:r w:rsidRPr="003458D0">
        <w:rPr>
          <w:rFonts w:ascii="Calibri" w:hAnsi="Calibri"/>
          <w:color w:val="595959" w:themeColor="text1" w:themeTint="A6"/>
          <w:sz w:val="26"/>
          <w:szCs w:val="27"/>
        </w:rPr>
        <w:t xml:space="preserve">b).- El requerimiento de pago del impuesto predial de fecha 4 cuatro de mayo del 2016 dos mil dieciséis, de la cuenta predial número </w:t>
      </w:r>
      <w:r w:rsidRPr="003458D0">
        <w:rPr>
          <w:rFonts w:ascii="Calibri" w:hAnsi="Calibri"/>
          <w:bCs/>
          <w:color w:val="595959" w:themeColor="text1" w:themeTint="A6"/>
          <w:sz w:val="26"/>
          <w:szCs w:val="27"/>
        </w:rPr>
        <w:t xml:space="preserve">04 S 000130-002 (cero cuatro letra S cero-cero-cero-uno-tres-cero </w:t>
      </w:r>
      <w:proofErr w:type="spellStart"/>
      <w:r w:rsidRPr="003458D0">
        <w:rPr>
          <w:rFonts w:ascii="Calibri" w:hAnsi="Calibri"/>
          <w:bCs/>
          <w:color w:val="595959" w:themeColor="text1" w:themeTint="A6"/>
          <w:sz w:val="26"/>
          <w:szCs w:val="27"/>
        </w:rPr>
        <w:t>guión</w:t>
      </w:r>
      <w:proofErr w:type="spellEnd"/>
      <w:r w:rsidRPr="003458D0">
        <w:rPr>
          <w:rFonts w:ascii="Calibri" w:hAnsi="Calibri"/>
          <w:bCs/>
          <w:color w:val="595959" w:themeColor="text1" w:themeTint="A6"/>
          <w:sz w:val="26"/>
          <w:szCs w:val="27"/>
        </w:rPr>
        <w:t xml:space="preserve"> cero-cero-dos); por la cantidad de $94,954.22 (Noventa y cuatro mil novecientos cincuenta y cuatro pesos 22/100 Moneda Nacional). Visible en el expediente en copia certificada de la copia al carbón, a foja 31 treinta y uno del expediente. . . . . . . . . . . . . . . . . . . . . .</w:t>
      </w:r>
    </w:p>
    <w:p w:rsidR="003540B3" w:rsidRPr="003458D0" w:rsidRDefault="003540B3" w:rsidP="003540B3">
      <w:pPr>
        <w:jc w:val="both"/>
        <w:rPr>
          <w:rFonts w:ascii="Calibri" w:hAnsi="Calibri"/>
          <w:color w:val="595959" w:themeColor="text1" w:themeTint="A6"/>
          <w:sz w:val="26"/>
          <w:szCs w:val="27"/>
        </w:rPr>
      </w:pPr>
    </w:p>
    <w:p w:rsidR="003540B3" w:rsidRPr="003458D0" w:rsidRDefault="003540B3" w:rsidP="003540B3">
      <w:pPr>
        <w:ind w:firstLine="708"/>
        <w:jc w:val="both"/>
        <w:rPr>
          <w:rFonts w:ascii="Calibri" w:hAnsi="Calibri"/>
          <w:color w:val="595959" w:themeColor="text1" w:themeTint="A6"/>
          <w:sz w:val="26"/>
          <w:szCs w:val="27"/>
        </w:rPr>
      </w:pPr>
      <w:r w:rsidRPr="003458D0">
        <w:rPr>
          <w:rFonts w:ascii="Calibri" w:hAnsi="Calibri"/>
          <w:color w:val="595959" w:themeColor="text1" w:themeTint="A6"/>
          <w:sz w:val="26"/>
          <w:szCs w:val="27"/>
        </w:rPr>
        <w:t xml:space="preserve">Tales documentos fueron aportados por la parte actora juntamente con su escrito de demanda. . . . . . . . . . . . . . . . . . . . . . . . . . . . . . . . . . . . . . . . . . . . . . . . . . . . </w:t>
      </w:r>
    </w:p>
    <w:p w:rsidR="003540B3" w:rsidRPr="003458D0" w:rsidRDefault="003540B3" w:rsidP="003540B3">
      <w:pPr>
        <w:ind w:firstLine="708"/>
        <w:jc w:val="both"/>
        <w:rPr>
          <w:rFonts w:ascii="Calibri" w:hAnsi="Calibri"/>
          <w:color w:val="595959" w:themeColor="text1" w:themeTint="A6"/>
          <w:sz w:val="26"/>
          <w:szCs w:val="27"/>
        </w:rPr>
      </w:pPr>
    </w:p>
    <w:p w:rsidR="003540B3" w:rsidRPr="003458D0" w:rsidRDefault="003540B3" w:rsidP="003540B3">
      <w:pPr>
        <w:ind w:firstLine="708"/>
        <w:jc w:val="both"/>
        <w:rPr>
          <w:rFonts w:ascii="Calibri" w:hAnsi="Calibri"/>
          <w:color w:val="595959" w:themeColor="text1" w:themeTint="A6"/>
          <w:sz w:val="26"/>
          <w:szCs w:val="27"/>
        </w:rPr>
      </w:pPr>
      <w:r w:rsidRPr="003458D0">
        <w:rPr>
          <w:rFonts w:ascii="Calibri" w:hAnsi="Calibri"/>
          <w:color w:val="595959" w:themeColor="text1" w:themeTint="A6"/>
          <w:sz w:val="26"/>
          <w:szCs w:val="27"/>
        </w:rPr>
        <w:t xml:space="preserve">c).- La orden de avalúo con folio número 412470-13 (cuatrocientos doce mil cuatrocientos setenta </w:t>
      </w:r>
      <w:proofErr w:type="spellStart"/>
      <w:r w:rsidRPr="003458D0">
        <w:rPr>
          <w:rFonts w:ascii="Calibri" w:hAnsi="Calibri"/>
          <w:color w:val="595959" w:themeColor="text1" w:themeTint="A6"/>
          <w:sz w:val="26"/>
          <w:szCs w:val="27"/>
        </w:rPr>
        <w:t>guión</w:t>
      </w:r>
      <w:proofErr w:type="spellEnd"/>
      <w:r w:rsidRPr="003458D0">
        <w:rPr>
          <w:rFonts w:ascii="Calibri" w:hAnsi="Calibri"/>
          <w:color w:val="595959" w:themeColor="text1" w:themeTint="A6"/>
          <w:sz w:val="26"/>
          <w:szCs w:val="27"/>
        </w:rPr>
        <w:t xml:space="preserve"> trece;  de fecha 24 veinticuatro de abril del año 2013 dos mil trece, respecto del inmueble con cuenta predial 0 4S 000130 002 (cero cuatro letra S espacio cero-cero-cero-uno-tres-cero espacio cero-cero-dos). (</w:t>
      </w:r>
      <w:proofErr w:type="gramStart"/>
      <w:r w:rsidRPr="003458D0">
        <w:rPr>
          <w:rFonts w:ascii="Calibri" w:hAnsi="Calibri"/>
          <w:color w:val="595959" w:themeColor="text1" w:themeTint="A6"/>
          <w:sz w:val="26"/>
          <w:szCs w:val="27"/>
        </w:rPr>
        <w:t>localizable</w:t>
      </w:r>
      <w:proofErr w:type="gramEnd"/>
      <w:r w:rsidRPr="003458D0">
        <w:rPr>
          <w:rFonts w:ascii="Calibri" w:hAnsi="Calibri"/>
          <w:color w:val="595959" w:themeColor="text1" w:themeTint="A6"/>
          <w:sz w:val="26"/>
          <w:szCs w:val="27"/>
        </w:rPr>
        <w:t xml:space="preserve"> a foja 63 sesenta y tres) del expediente; pero del cual no se aportaron las constancias de notificación respectivas. . . . . . . . . . . . . . . . . . . . . . . . </w:t>
      </w:r>
      <w:r>
        <w:rPr>
          <w:rFonts w:ascii="Calibri" w:hAnsi="Calibri" w:cs="Arial"/>
          <w:color w:val="595959" w:themeColor="text1" w:themeTint="A6"/>
          <w:sz w:val="26"/>
          <w:szCs w:val="27"/>
        </w:rPr>
        <w:t xml:space="preserve">. . . . . . . . . . </w:t>
      </w:r>
    </w:p>
    <w:p w:rsidR="003540B3" w:rsidRPr="003458D0" w:rsidRDefault="003540B3" w:rsidP="003540B3">
      <w:pPr>
        <w:ind w:firstLine="708"/>
        <w:jc w:val="both"/>
        <w:rPr>
          <w:rFonts w:ascii="Calibri" w:hAnsi="Calibri"/>
          <w:color w:val="595959" w:themeColor="text1" w:themeTint="A6"/>
          <w:sz w:val="26"/>
          <w:szCs w:val="27"/>
        </w:rPr>
      </w:pPr>
    </w:p>
    <w:p w:rsidR="003540B3" w:rsidRDefault="003540B3" w:rsidP="003540B3">
      <w:pPr>
        <w:jc w:val="both"/>
        <w:rPr>
          <w:rFonts w:ascii="Calibri" w:hAnsi="Calibri"/>
          <w:color w:val="595959" w:themeColor="text1" w:themeTint="A6"/>
          <w:sz w:val="26"/>
          <w:szCs w:val="27"/>
        </w:rPr>
      </w:pPr>
      <w:r w:rsidRPr="003458D0">
        <w:rPr>
          <w:rFonts w:ascii="Calibri" w:hAnsi="Calibri"/>
          <w:color w:val="595959" w:themeColor="text1" w:themeTint="A6"/>
          <w:sz w:val="26"/>
          <w:szCs w:val="27"/>
        </w:rPr>
        <w:t>d).- No aportándose la orden de avalúo respecto de inmueble con número de cuenta</w:t>
      </w:r>
      <w:r>
        <w:rPr>
          <w:rFonts w:ascii="Calibri" w:hAnsi="Calibri"/>
          <w:color w:val="595959" w:themeColor="text1" w:themeTint="A6"/>
          <w:sz w:val="26"/>
          <w:szCs w:val="27"/>
        </w:rPr>
        <w:t xml:space="preserve">  </w:t>
      </w:r>
      <w:r w:rsidRPr="003458D0">
        <w:rPr>
          <w:rFonts w:ascii="Calibri" w:hAnsi="Calibri"/>
          <w:color w:val="595959" w:themeColor="text1" w:themeTint="A6"/>
          <w:sz w:val="26"/>
          <w:szCs w:val="27"/>
        </w:rPr>
        <w:t xml:space="preserve"> predial </w:t>
      </w:r>
      <w:r>
        <w:rPr>
          <w:rFonts w:ascii="Calibri" w:hAnsi="Calibri"/>
          <w:color w:val="595959" w:themeColor="text1" w:themeTint="A6"/>
          <w:sz w:val="26"/>
          <w:szCs w:val="27"/>
        </w:rPr>
        <w:t xml:space="preserve"> </w:t>
      </w:r>
      <w:r w:rsidRPr="003458D0">
        <w:rPr>
          <w:rFonts w:ascii="Calibri" w:hAnsi="Calibri"/>
          <w:color w:val="595959" w:themeColor="text1" w:themeTint="A6"/>
          <w:sz w:val="26"/>
          <w:szCs w:val="27"/>
        </w:rPr>
        <w:t>0 4S 000130 001 (cero cuatro letra S espacio cero-cero-cero-</w:t>
      </w:r>
      <w:r w:rsidRPr="00010D11">
        <w:rPr>
          <w:rFonts w:ascii="Calibri" w:hAnsi="Calibri"/>
          <w:color w:val="595959" w:themeColor="text1" w:themeTint="A6"/>
          <w:sz w:val="26"/>
          <w:szCs w:val="27"/>
        </w:rPr>
        <w:t xml:space="preserve"> </w:t>
      </w:r>
      <w:r>
        <w:rPr>
          <w:rFonts w:ascii="Calibri" w:hAnsi="Calibri"/>
          <w:color w:val="595959" w:themeColor="text1" w:themeTint="A6"/>
          <w:sz w:val="26"/>
          <w:szCs w:val="27"/>
        </w:rPr>
        <w:t>uno-tres-cero espacio cero-cero-uno), avalúo que fue realizado en el año 2010 dos mil diez. . . . . . . . . . . . . . . . . . . . . . . . . . . . . . . . . . . . . . . . . . . . . . . . . . . . . . . . . . . . . . . . . .</w:t>
      </w:r>
    </w:p>
    <w:p w:rsidR="003540B3" w:rsidRDefault="003540B3" w:rsidP="003540B3">
      <w:pPr>
        <w:ind w:firstLine="708"/>
        <w:jc w:val="both"/>
        <w:rPr>
          <w:rFonts w:ascii="Calibri" w:hAnsi="Calibri"/>
          <w:color w:val="595959" w:themeColor="text1" w:themeTint="A6"/>
          <w:sz w:val="26"/>
          <w:szCs w:val="27"/>
        </w:rPr>
      </w:pPr>
    </w:p>
    <w:p w:rsidR="003540B3" w:rsidRDefault="003540B3" w:rsidP="003540B3">
      <w:pPr>
        <w:ind w:firstLine="708"/>
        <w:jc w:val="right"/>
        <w:rPr>
          <w:rFonts w:ascii="Calibri" w:hAnsi="Calibri"/>
          <w:b/>
          <w:color w:val="595959" w:themeColor="text1" w:themeTint="A6"/>
          <w:sz w:val="26"/>
          <w:szCs w:val="27"/>
        </w:rPr>
      </w:pPr>
      <w:r>
        <w:rPr>
          <w:rFonts w:ascii="Calibri" w:hAnsi="Calibri"/>
          <w:b/>
          <w:color w:val="595959" w:themeColor="text1" w:themeTint="A6"/>
          <w:sz w:val="26"/>
          <w:szCs w:val="27"/>
        </w:rPr>
        <w:t>Expediente número 450/2016-JN</w:t>
      </w:r>
    </w:p>
    <w:p w:rsidR="003540B3" w:rsidRDefault="003540B3" w:rsidP="003540B3">
      <w:pPr>
        <w:jc w:val="both"/>
        <w:rPr>
          <w:rFonts w:ascii="Calibri" w:hAnsi="Calibri"/>
          <w:color w:val="595959" w:themeColor="text1" w:themeTint="A6"/>
          <w:sz w:val="26"/>
          <w:szCs w:val="27"/>
        </w:rPr>
      </w:pPr>
    </w:p>
    <w:p w:rsidR="003540B3" w:rsidRPr="003458D0" w:rsidRDefault="003540B3" w:rsidP="003540B3">
      <w:pPr>
        <w:ind w:firstLine="708"/>
        <w:jc w:val="both"/>
        <w:rPr>
          <w:rFonts w:ascii="Calibri" w:hAnsi="Calibri"/>
          <w:color w:val="595959" w:themeColor="text1" w:themeTint="A6"/>
          <w:sz w:val="26"/>
          <w:szCs w:val="27"/>
        </w:rPr>
      </w:pPr>
      <w:r w:rsidRPr="003458D0">
        <w:rPr>
          <w:rFonts w:ascii="Calibri" w:hAnsi="Calibri"/>
          <w:color w:val="595959" w:themeColor="text1" w:themeTint="A6"/>
          <w:sz w:val="26"/>
          <w:szCs w:val="27"/>
        </w:rPr>
        <w:t xml:space="preserve">e) Los avalúos practicados a los inmuebles propiedad del actor, el primero, respecto del inmueble con la cuenta predial número 0 4S 000130 001 (cero cuatro letra S espacio cero-cero-cero-uno-tres-cero espacio cero-cero-uno), avalúo que fue realizado en el año 2010 dos mil diez, presentado en copia certificada y es visible a foja 53 cincuenta y tres del expediente; así como el avalúo con número  de folio 412470, de fecha 2 dos de mayo del 2013 dos mil trece, respecto del inmueble con la cuenta predial 0 4S 000130 002 (cero cuatro letra S espacio cero-cero-cero-uno-tres-cero espacio cero-cero-dos). También exhibido en copia certificada visible a foja 62 sesenta y </w:t>
      </w:r>
      <w:proofErr w:type="gramStart"/>
      <w:r w:rsidRPr="003458D0">
        <w:rPr>
          <w:rFonts w:ascii="Calibri" w:hAnsi="Calibri"/>
          <w:color w:val="595959" w:themeColor="text1" w:themeTint="A6"/>
          <w:sz w:val="26"/>
          <w:szCs w:val="27"/>
        </w:rPr>
        <w:t>dos .</w:t>
      </w:r>
      <w:proofErr w:type="gramEnd"/>
      <w:r w:rsidRPr="003458D0">
        <w:rPr>
          <w:rFonts w:ascii="Calibri" w:hAnsi="Calibri"/>
          <w:color w:val="595959" w:themeColor="text1" w:themeTint="A6"/>
          <w:sz w:val="26"/>
          <w:szCs w:val="27"/>
        </w:rPr>
        <w:t xml:space="preserve"> . . . . . . . . . . . . . . . . . . </w:t>
      </w:r>
      <w:r>
        <w:rPr>
          <w:rFonts w:ascii="Calibri" w:hAnsi="Calibri" w:cs="Arial"/>
          <w:color w:val="595959" w:themeColor="text1" w:themeTint="A6"/>
          <w:sz w:val="26"/>
          <w:szCs w:val="27"/>
        </w:rPr>
        <w:t xml:space="preserve">. . . . . . . . . . . . . . . . </w:t>
      </w:r>
    </w:p>
    <w:p w:rsidR="003540B3" w:rsidRPr="003458D0" w:rsidRDefault="003540B3" w:rsidP="003540B3">
      <w:pPr>
        <w:jc w:val="both"/>
        <w:rPr>
          <w:rFonts w:ascii="Calibri" w:hAnsi="Calibri"/>
          <w:color w:val="595959" w:themeColor="text1" w:themeTint="A6"/>
          <w:sz w:val="26"/>
          <w:szCs w:val="27"/>
        </w:rPr>
      </w:pPr>
    </w:p>
    <w:p w:rsidR="003540B3" w:rsidRPr="003458D0" w:rsidRDefault="003540B3" w:rsidP="003540B3">
      <w:pPr>
        <w:ind w:firstLine="708"/>
        <w:jc w:val="both"/>
        <w:rPr>
          <w:rFonts w:ascii="Calibri" w:hAnsi="Calibri"/>
          <w:color w:val="595959" w:themeColor="text1" w:themeTint="A6"/>
          <w:sz w:val="26"/>
          <w:szCs w:val="26"/>
        </w:rPr>
      </w:pPr>
      <w:r w:rsidRPr="003458D0">
        <w:rPr>
          <w:rFonts w:ascii="Calibri" w:hAnsi="Calibri"/>
          <w:color w:val="595959" w:themeColor="text1" w:themeTint="A6"/>
          <w:sz w:val="26"/>
          <w:szCs w:val="27"/>
        </w:rPr>
        <w:t xml:space="preserve">Documentos que merecen pleno valor probatorio, </w:t>
      </w:r>
      <w:r w:rsidRPr="003458D0">
        <w:rPr>
          <w:rFonts w:ascii="Calibri" w:hAnsi="Calibri" w:cs="Arial"/>
          <w:color w:val="595959" w:themeColor="text1" w:themeTint="A6"/>
          <w:sz w:val="26"/>
          <w:szCs w:val="27"/>
        </w:rPr>
        <w:t xml:space="preserve">conforme a lo dispuesto en los artículos </w:t>
      </w:r>
      <w:r w:rsidRPr="003458D0">
        <w:rPr>
          <w:rFonts w:ascii="Calibri" w:hAnsi="Calibri"/>
          <w:color w:val="595959" w:themeColor="text1" w:themeTint="A6"/>
          <w:sz w:val="26"/>
          <w:szCs w:val="27"/>
        </w:rPr>
        <w:t xml:space="preserve">78, 81, 117, 119, 121 y 124 del Código de Procedimiento y Justicia Administrativa para el Estado y los Municipios de Guanajuato; toda vez que se trata de documentos públicos emitidos por servidores públicos en el ejercicio de sus atribuciones; en tanto que el estado de cuenta aportado por la parte actora; no </w:t>
      </w:r>
      <w:r w:rsidRPr="003458D0">
        <w:rPr>
          <w:rFonts w:ascii="Calibri" w:hAnsi="Calibri"/>
          <w:color w:val="595959" w:themeColor="text1" w:themeTint="A6"/>
          <w:sz w:val="26"/>
          <w:szCs w:val="27"/>
        </w:rPr>
        <w:lastRenderedPageBreak/>
        <w:t xml:space="preserve">obstante que se trata de un documento privado, su contenido se encuentra adminiculado con los anteriores documentos, y coincide con los mismos tanto en los datos generales de la cuenta, del nombre del propietario y del inmueble; </w:t>
      </w:r>
      <w:r w:rsidRPr="003458D0">
        <w:rPr>
          <w:rFonts w:ascii="Calibri" w:hAnsi="Calibri"/>
          <w:color w:val="595959" w:themeColor="text1" w:themeTint="A6"/>
          <w:sz w:val="26"/>
          <w:szCs w:val="26"/>
        </w:rPr>
        <w:t xml:space="preserve">por lo que no puede restársele valor probatorio alguno, de ahí que no exista duda alguna sobre la existencia de los actos impugnados en esta causa administrativa. . </w:t>
      </w:r>
    </w:p>
    <w:p w:rsidR="003540B3" w:rsidRPr="003458D0" w:rsidRDefault="003540B3" w:rsidP="003540B3">
      <w:pPr>
        <w:ind w:firstLine="708"/>
        <w:jc w:val="both"/>
        <w:rPr>
          <w:rFonts w:ascii="Calibri" w:hAnsi="Calibri"/>
          <w:color w:val="595959" w:themeColor="text1" w:themeTint="A6"/>
          <w:sz w:val="26"/>
          <w:szCs w:val="26"/>
        </w:rPr>
      </w:pPr>
    </w:p>
    <w:p w:rsidR="003540B3" w:rsidRPr="003458D0" w:rsidRDefault="003540B3" w:rsidP="003540B3">
      <w:pPr>
        <w:ind w:firstLine="708"/>
        <w:jc w:val="both"/>
        <w:rPr>
          <w:rFonts w:ascii="Calibri" w:hAnsi="Calibri"/>
          <w:color w:val="595959" w:themeColor="text1" w:themeTint="A6"/>
          <w:sz w:val="26"/>
          <w:szCs w:val="27"/>
        </w:rPr>
      </w:pPr>
      <w:r w:rsidRPr="003458D0">
        <w:rPr>
          <w:rFonts w:ascii="Calibri" w:hAnsi="Calibri"/>
          <w:color w:val="595959" w:themeColor="text1" w:themeTint="A6"/>
          <w:sz w:val="26"/>
          <w:szCs w:val="26"/>
        </w:rPr>
        <w:t xml:space="preserve">Es menester señalar que </w:t>
      </w:r>
      <w:r w:rsidRPr="003458D0">
        <w:rPr>
          <w:rFonts w:ascii="Calibri" w:hAnsi="Calibri"/>
          <w:color w:val="595959" w:themeColor="text1" w:themeTint="A6"/>
          <w:sz w:val="26"/>
          <w:szCs w:val="27"/>
        </w:rPr>
        <w:t>los documentos determinantes de los créditos por las cantidades  cobradas por concepto de impuesto predial, referidos en los estados de cuenta, no fueron aportados por las partes; ya que, si bien, exhibieron diversos formatos y actas de notificación de varios procedimientos administrativos de ejecución e incluso un documento determinante del crédito, cierto resulta que no  presentaron las determinaciones que nos ocupa. . . . . . . . . .</w:t>
      </w:r>
      <w:r w:rsidRPr="00010D11">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 . . . . . . . . </w:t>
      </w:r>
    </w:p>
    <w:p w:rsidR="003540B3" w:rsidRPr="003458D0" w:rsidRDefault="003540B3" w:rsidP="003540B3">
      <w:pPr>
        <w:ind w:firstLine="708"/>
        <w:jc w:val="both"/>
        <w:rPr>
          <w:rFonts w:ascii="Calibri" w:hAnsi="Calibri"/>
          <w:color w:val="595959" w:themeColor="text1" w:themeTint="A6"/>
          <w:sz w:val="26"/>
          <w:szCs w:val="27"/>
        </w:rPr>
      </w:pPr>
    </w:p>
    <w:p w:rsidR="003540B3" w:rsidRPr="003458D0" w:rsidRDefault="003540B3" w:rsidP="003540B3">
      <w:pPr>
        <w:ind w:firstLine="708"/>
        <w:jc w:val="both"/>
        <w:rPr>
          <w:rFonts w:ascii="Calibri" w:hAnsi="Calibri"/>
          <w:bCs/>
          <w:iCs/>
          <w:color w:val="595959" w:themeColor="text1" w:themeTint="A6"/>
          <w:sz w:val="26"/>
          <w:szCs w:val="26"/>
        </w:rPr>
      </w:pPr>
      <w:r w:rsidRPr="003458D0">
        <w:rPr>
          <w:rFonts w:ascii="Calibri" w:hAnsi="Calibri"/>
          <w:b/>
          <w:bCs/>
          <w:i/>
          <w:iCs/>
          <w:color w:val="595959" w:themeColor="text1" w:themeTint="A6"/>
          <w:sz w:val="26"/>
          <w:szCs w:val="27"/>
        </w:rPr>
        <w:t xml:space="preserve">CUARTO.- </w:t>
      </w:r>
      <w:r w:rsidRPr="003458D0">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3540B3" w:rsidRPr="003458D0" w:rsidRDefault="003540B3" w:rsidP="003540B3">
      <w:pPr>
        <w:ind w:firstLine="708"/>
        <w:jc w:val="both"/>
        <w:rPr>
          <w:rFonts w:ascii="Calibri" w:hAnsi="Calibri"/>
          <w:bCs/>
          <w:iCs/>
          <w:color w:val="595959" w:themeColor="text1" w:themeTint="A6"/>
          <w:sz w:val="26"/>
          <w:szCs w:val="26"/>
        </w:rPr>
      </w:pPr>
    </w:p>
    <w:p w:rsidR="003540B3" w:rsidRPr="003458D0" w:rsidRDefault="003540B3" w:rsidP="003540B3">
      <w:pPr>
        <w:ind w:firstLine="708"/>
        <w:jc w:val="both"/>
        <w:rPr>
          <w:rFonts w:ascii="Calibri" w:hAnsi="Calibri"/>
          <w:color w:val="595959" w:themeColor="text1" w:themeTint="A6"/>
          <w:sz w:val="26"/>
        </w:rPr>
      </w:pPr>
      <w:r w:rsidRPr="003458D0">
        <w:rPr>
          <w:rFonts w:ascii="Calibri" w:hAnsi="Calibri"/>
          <w:color w:val="595959" w:themeColor="text1" w:themeTint="A6"/>
          <w:sz w:val="26"/>
        </w:rPr>
        <w:t xml:space="preserve">En la especie, en la presente causa administrativa, las autoridades demandadas, sí plantearon una causal de improcedencia; la prevista en la fracción VI del artículo 261 del Código de Procedimiento y Justicia Administrativa para el Estado y los Municipios de Guanajuato, relativa a que son inexistentes los actos combatidos. . </w:t>
      </w:r>
      <w:r w:rsidRPr="003458D0">
        <w:rPr>
          <w:rFonts w:ascii="Calibri" w:hAnsi="Calibri"/>
          <w:color w:val="595959" w:themeColor="text1" w:themeTint="A6"/>
          <w:sz w:val="26"/>
          <w:szCs w:val="27"/>
        </w:rPr>
        <w:t xml:space="preserve">. . . . . . . . . . . . . . . . . . . . . . . . . . . . . . . . . . . . . . . . . . . . . . . . . . . . </w:t>
      </w:r>
      <w:r>
        <w:rPr>
          <w:rFonts w:ascii="Calibri" w:hAnsi="Calibri"/>
          <w:color w:val="595959" w:themeColor="text1" w:themeTint="A6"/>
          <w:sz w:val="26"/>
          <w:szCs w:val="27"/>
        </w:rPr>
        <w:t>. . . . .</w:t>
      </w:r>
    </w:p>
    <w:p w:rsidR="003540B3" w:rsidRPr="003458D0" w:rsidRDefault="003540B3" w:rsidP="003540B3">
      <w:pPr>
        <w:jc w:val="both"/>
        <w:rPr>
          <w:rFonts w:ascii="Calibri" w:hAnsi="Calibri"/>
          <w:color w:val="595959" w:themeColor="text1" w:themeTint="A6"/>
          <w:sz w:val="26"/>
        </w:rPr>
      </w:pPr>
    </w:p>
    <w:p w:rsidR="003540B3" w:rsidRPr="003458D0" w:rsidRDefault="003540B3" w:rsidP="003540B3">
      <w:pPr>
        <w:ind w:firstLine="708"/>
        <w:jc w:val="both"/>
        <w:rPr>
          <w:rFonts w:ascii="Calibri" w:hAnsi="Calibri"/>
          <w:color w:val="595959" w:themeColor="text1" w:themeTint="A6"/>
          <w:sz w:val="26"/>
        </w:rPr>
      </w:pPr>
      <w:r w:rsidRPr="003458D0">
        <w:rPr>
          <w:rFonts w:ascii="Calibri" w:hAnsi="Calibri"/>
          <w:color w:val="595959" w:themeColor="text1" w:themeTint="A6"/>
          <w:sz w:val="26"/>
        </w:rPr>
        <w:t xml:space="preserve">Causal de improcedencia que </w:t>
      </w:r>
      <w:r w:rsidRPr="003458D0">
        <w:rPr>
          <w:rFonts w:ascii="Calibri" w:hAnsi="Calibri"/>
          <w:b/>
          <w:color w:val="595959" w:themeColor="text1" w:themeTint="A6"/>
          <w:sz w:val="26"/>
        </w:rPr>
        <w:t>de ninguna manera se actualiza</w:t>
      </w:r>
      <w:r w:rsidRPr="003458D0">
        <w:rPr>
          <w:rFonts w:ascii="Calibri" w:hAnsi="Calibri"/>
          <w:color w:val="595959" w:themeColor="text1" w:themeTint="A6"/>
          <w:sz w:val="26"/>
        </w:rPr>
        <w:t xml:space="preserve"> en el asunto que nos ocupa; pues como se ha señalado en el considerando inmediato anterior, está debidamente demostrada la existencia de los actos combatidos, tal y como quedará robustecido a lo largo de esta sentencia. . . . . . . . . . . . . . . . . . . . . </w:t>
      </w:r>
      <w:r>
        <w:rPr>
          <w:rFonts w:ascii="Calibri" w:hAnsi="Calibri" w:cs="Arial"/>
          <w:color w:val="595959" w:themeColor="text1" w:themeTint="A6"/>
          <w:sz w:val="26"/>
          <w:szCs w:val="27"/>
        </w:rPr>
        <w:t xml:space="preserve">. . . . . . . </w:t>
      </w:r>
    </w:p>
    <w:p w:rsidR="003540B3" w:rsidRPr="003458D0" w:rsidRDefault="003540B3" w:rsidP="003540B3">
      <w:pPr>
        <w:jc w:val="both"/>
        <w:rPr>
          <w:rFonts w:ascii="Calibri" w:hAnsi="Calibri"/>
          <w:color w:val="595959" w:themeColor="text1" w:themeTint="A6"/>
          <w:sz w:val="26"/>
        </w:rPr>
      </w:pPr>
    </w:p>
    <w:p w:rsidR="003540B3" w:rsidRPr="003458D0" w:rsidRDefault="003540B3" w:rsidP="003540B3">
      <w:pPr>
        <w:ind w:firstLine="708"/>
        <w:jc w:val="both"/>
        <w:rPr>
          <w:rFonts w:ascii="Calibri" w:hAnsi="Calibri" w:cs="Calibri"/>
          <w:color w:val="595959" w:themeColor="text1" w:themeTint="A6"/>
          <w:sz w:val="26"/>
          <w:szCs w:val="26"/>
        </w:rPr>
      </w:pPr>
      <w:r w:rsidRPr="003458D0">
        <w:rPr>
          <w:rFonts w:ascii="Calibri" w:hAnsi="Calibri"/>
          <w:color w:val="595959" w:themeColor="text1" w:themeTint="A6"/>
          <w:sz w:val="26"/>
        </w:rPr>
        <w:t xml:space="preserve">Así las cosas, al no actualizarse la única causal de improcedencia invocada por las enjuiciadas y, a </w:t>
      </w:r>
      <w:r w:rsidRPr="003458D0">
        <w:rPr>
          <w:rFonts w:ascii="Calibri" w:hAnsi="Calibri"/>
          <w:color w:val="595959" w:themeColor="text1" w:themeTint="A6"/>
          <w:sz w:val="26"/>
          <w:szCs w:val="27"/>
        </w:rPr>
        <w:t xml:space="preserve">que de oficio, este Juzgador no advierte la actualización de alguna causal de improcedencia o sobreseimiento que impida el estudio de fondo de la presente causa administrativa en relación a los </w:t>
      </w:r>
      <w:r w:rsidRPr="003458D0">
        <w:rPr>
          <w:rFonts w:ascii="Calibri" w:hAnsi="Calibri" w:cs="Calibri"/>
          <w:bCs/>
          <w:iCs/>
          <w:color w:val="595959" w:themeColor="text1" w:themeTint="A6"/>
          <w:sz w:val="26"/>
          <w:szCs w:val="26"/>
        </w:rPr>
        <w:t>actos administrativos impugnados, por lo que es procedente el presente proceso, promovido  en contra de los actos administrativos impugnados</w:t>
      </w:r>
      <w:r w:rsidRPr="003458D0">
        <w:rPr>
          <w:rFonts w:ascii="Calibri" w:hAnsi="Calibri"/>
          <w:color w:val="595959" w:themeColor="text1" w:themeTint="A6"/>
          <w:sz w:val="26"/>
          <w:szCs w:val="27"/>
        </w:rPr>
        <w:t xml:space="preserve">. . </w:t>
      </w:r>
      <w:r w:rsidRPr="003458D0">
        <w:rPr>
          <w:rFonts w:ascii="Calibri" w:hAnsi="Calibri"/>
          <w:color w:val="595959" w:themeColor="text1" w:themeTint="A6"/>
          <w:sz w:val="26"/>
        </w:rPr>
        <w:t xml:space="preserve">. . . . . . </w:t>
      </w:r>
      <w:r>
        <w:rPr>
          <w:rFonts w:ascii="Calibri" w:hAnsi="Calibri" w:cs="Arial"/>
          <w:color w:val="595959" w:themeColor="text1" w:themeTint="A6"/>
          <w:sz w:val="26"/>
          <w:szCs w:val="27"/>
        </w:rPr>
        <w:t xml:space="preserve">. . . . . . . . . . . . . . . . . . . . . . . . . . . </w:t>
      </w:r>
    </w:p>
    <w:p w:rsidR="003540B3" w:rsidRPr="003458D0" w:rsidRDefault="003540B3" w:rsidP="003540B3">
      <w:pPr>
        <w:jc w:val="both"/>
        <w:rPr>
          <w:rFonts w:ascii="Calibri" w:hAnsi="Calibri" w:cs="Calibri"/>
          <w:b/>
          <w:bCs/>
          <w:i/>
          <w:iCs/>
          <w:color w:val="595959" w:themeColor="text1" w:themeTint="A6"/>
          <w:sz w:val="26"/>
          <w:szCs w:val="26"/>
        </w:rPr>
      </w:pPr>
    </w:p>
    <w:p w:rsidR="003540B3" w:rsidRPr="003458D0" w:rsidRDefault="003540B3" w:rsidP="003540B3">
      <w:pPr>
        <w:ind w:firstLine="708"/>
        <w:jc w:val="both"/>
        <w:rPr>
          <w:rFonts w:ascii="Calibri" w:hAnsi="Calibri" w:cs="Calibri"/>
          <w:b/>
          <w:bCs/>
          <w:i/>
          <w:iCs/>
          <w:color w:val="595959" w:themeColor="text1" w:themeTint="A6"/>
          <w:sz w:val="26"/>
          <w:szCs w:val="26"/>
        </w:rPr>
      </w:pPr>
      <w:r w:rsidRPr="003458D0">
        <w:rPr>
          <w:rFonts w:ascii="Calibri" w:hAnsi="Calibri" w:cs="Calibri"/>
          <w:b/>
          <w:bCs/>
          <w:i/>
          <w:iCs/>
          <w:color w:val="595959" w:themeColor="text1" w:themeTint="A6"/>
          <w:sz w:val="26"/>
          <w:szCs w:val="26"/>
        </w:rPr>
        <w:t xml:space="preserve">QUINTO.- </w:t>
      </w:r>
      <w:r w:rsidRPr="003458D0">
        <w:rPr>
          <w:rFonts w:ascii="Calibri" w:hAnsi="Calibri" w:cs="Calibri"/>
          <w:bCs/>
          <w:iCs/>
          <w:color w:val="595959" w:themeColor="text1" w:themeTint="A6"/>
          <w:sz w:val="26"/>
          <w:szCs w:val="26"/>
        </w:rPr>
        <w:t>Previamente al análisis del planteamiento de fondo formulado por el actor, es</w:t>
      </w:r>
      <w:r w:rsidRPr="003458D0">
        <w:rPr>
          <w:rFonts w:ascii="Calibri" w:hAnsi="Calibri" w:cs="Calibri"/>
          <w:color w:val="595959" w:themeColor="text1" w:themeTint="A6"/>
          <w:sz w:val="26"/>
          <w:szCs w:val="26"/>
        </w:rPr>
        <w:t xml:space="preserve">te Juzgador, en cumplimiento a lo establecido en la fracción I del artículo </w:t>
      </w:r>
      <w:r w:rsidRPr="003458D0">
        <w:rPr>
          <w:rFonts w:ascii="Calibri" w:hAnsi="Calibri" w:cs="Calibri"/>
          <w:color w:val="595959" w:themeColor="text1" w:themeTint="A6"/>
          <w:sz w:val="26"/>
          <w:szCs w:val="26"/>
        </w:rPr>
        <w:lastRenderedPageBreak/>
        <w:t>299 del Código de Procedimiento y Justicia Administrativa para el Estado y los Municipios de Guanajuato, procede a fijar clara y precisamente los puntos controvertidos en el presente proceso administrativo. . . . . . . . . . . . . . . . . . . . . . . .</w:t>
      </w:r>
    </w:p>
    <w:p w:rsidR="003540B3" w:rsidRPr="003458D0" w:rsidRDefault="003540B3" w:rsidP="003540B3">
      <w:pPr>
        <w:jc w:val="both"/>
        <w:rPr>
          <w:rFonts w:ascii="Calibri" w:hAnsi="Calibri"/>
          <w:color w:val="595959" w:themeColor="text1" w:themeTint="A6"/>
          <w:sz w:val="22"/>
          <w:szCs w:val="27"/>
        </w:rPr>
      </w:pPr>
    </w:p>
    <w:p w:rsidR="003540B3" w:rsidRPr="003458D0" w:rsidRDefault="003540B3" w:rsidP="003540B3">
      <w:pPr>
        <w:pStyle w:val="Sangra2detindependiente"/>
        <w:rPr>
          <w:rFonts w:ascii="Calibri" w:hAnsi="Calibri"/>
          <w:color w:val="595959" w:themeColor="text1" w:themeTint="A6"/>
          <w:sz w:val="26"/>
        </w:rPr>
      </w:pPr>
      <w:r w:rsidRPr="003458D0">
        <w:rPr>
          <w:rFonts w:ascii="Calibri" w:hAnsi="Calibri"/>
          <w:color w:val="595959" w:themeColor="text1" w:themeTint="A6"/>
          <w:sz w:val="26"/>
        </w:rPr>
        <w:t>De lo expuesto en el escrito de demanda, así como de las constancias que integran la presente causa administrativa; se desprende que: . . . . . . .</w:t>
      </w:r>
      <w:r w:rsidRPr="006258A7">
        <w:rPr>
          <w:rFonts w:ascii="Calibri" w:hAnsi="Calibri" w:cs="Arial"/>
          <w:color w:val="595959" w:themeColor="text1" w:themeTint="A6"/>
          <w:sz w:val="26"/>
        </w:rPr>
        <w:t xml:space="preserve"> </w:t>
      </w:r>
      <w:r>
        <w:rPr>
          <w:rFonts w:ascii="Calibri" w:hAnsi="Calibri" w:cs="Arial"/>
          <w:color w:val="595959" w:themeColor="text1" w:themeTint="A6"/>
          <w:sz w:val="26"/>
        </w:rPr>
        <w:t xml:space="preserve">. . . . . . . . . . </w:t>
      </w:r>
    </w:p>
    <w:p w:rsidR="003540B3" w:rsidRPr="003458D0" w:rsidRDefault="003540B3" w:rsidP="003540B3">
      <w:pPr>
        <w:pStyle w:val="Sangra2detindependiente"/>
        <w:rPr>
          <w:rFonts w:ascii="Calibri" w:hAnsi="Calibri"/>
          <w:color w:val="595959" w:themeColor="text1" w:themeTint="A6"/>
          <w:sz w:val="26"/>
        </w:rPr>
      </w:pPr>
    </w:p>
    <w:p w:rsidR="003540B3" w:rsidRPr="003458D0" w:rsidRDefault="003540B3" w:rsidP="003540B3">
      <w:pPr>
        <w:pStyle w:val="Sangra2detindependiente"/>
        <w:rPr>
          <w:rFonts w:ascii="Calibri" w:hAnsi="Calibri"/>
          <w:color w:val="595959" w:themeColor="text1" w:themeTint="A6"/>
          <w:sz w:val="26"/>
        </w:rPr>
      </w:pPr>
      <w:r w:rsidRPr="003458D0">
        <w:rPr>
          <w:rFonts w:ascii="Calibri" w:hAnsi="Calibri"/>
          <w:color w:val="595959" w:themeColor="text1" w:themeTint="A6"/>
          <w:sz w:val="26"/>
        </w:rPr>
        <w:t xml:space="preserve">a).- El ciudadano </w:t>
      </w:r>
      <w:r>
        <w:rPr>
          <w:rFonts w:ascii="Calibri" w:hAnsi="Calibri"/>
          <w:color w:val="595959" w:themeColor="text1" w:themeTint="A6"/>
          <w:sz w:val="26"/>
        </w:rPr>
        <w:t>*****</w:t>
      </w:r>
      <w:r w:rsidRPr="003458D0">
        <w:rPr>
          <w:rFonts w:ascii="Calibri" w:hAnsi="Calibri"/>
          <w:color w:val="595959" w:themeColor="text1" w:themeTint="A6"/>
          <w:sz w:val="26"/>
        </w:rPr>
        <w:t>, es propietario de los inmuebles ubicados en la colonia Barrio de Guadalupe de esta ciudad; el primero con número de cuenta predial 0 4S 000130 001 (cero cuatro letra S espacio cero-cero-cero-uno-tres-cero espacio cero-cero-uno), con una superficie de 22,452.82 m</w:t>
      </w:r>
      <w:r w:rsidRPr="003458D0">
        <w:rPr>
          <w:rFonts w:ascii="Calibri" w:hAnsi="Calibri"/>
          <w:color w:val="595959" w:themeColor="text1" w:themeTint="A6"/>
          <w:sz w:val="26"/>
          <w:vertAlign w:val="superscript"/>
        </w:rPr>
        <w:t>2</w:t>
      </w:r>
      <w:r w:rsidRPr="003458D0">
        <w:rPr>
          <w:rFonts w:ascii="Calibri" w:hAnsi="Calibri"/>
          <w:color w:val="595959" w:themeColor="text1" w:themeTint="A6"/>
          <w:sz w:val="26"/>
        </w:rPr>
        <w:t xml:space="preserve"> (veintidós mil cuatrocientos cincuenta y dos punto ochenta y dos metros cuadrados); y, el segundo, con cuenta predial número 0 4S 000130 002 (cero- cuatro letra S espacio cero-cero-cero-uno-tres-cero espacio cero-cero-dos) con una superficie de 1,100.00 m</w:t>
      </w:r>
      <w:r w:rsidRPr="003458D0">
        <w:rPr>
          <w:rFonts w:ascii="Calibri" w:hAnsi="Calibri"/>
          <w:color w:val="595959" w:themeColor="text1" w:themeTint="A6"/>
          <w:sz w:val="26"/>
          <w:vertAlign w:val="superscript"/>
        </w:rPr>
        <w:t>2</w:t>
      </w:r>
      <w:r w:rsidRPr="003458D0">
        <w:rPr>
          <w:rFonts w:ascii="Calibri" w:hAnsi="Calibri"/>
          <w:color w:val="595959" w:themeColor="text1" w:themeTint="A6"/>
          <w:sz w:val="26"/>
        </w:rPr>
        <w:t xml:space="preserve"> (un mil cien metros cuadrados), según se desprende de la lectura de la escritura pública número 9683 nueve mil seiscientos ochenta y tres, de fecha 10 diez de agosto de 1976 mil novecientos setenta y seis (palpable en autos a fojas 17 diecisiete a 27 veintisiete).</w:t>
      </w:r>
      <w:r>
        <w:rPr>
          <w:rFonts w:ascii="Calibri" w:hAnsi="Calibri"/>
          <w:color w:val="595959" w:themeColor="text1" w:themeTint="A6"/>
          <w:sz w:val="26"/>
        </w:rPr>
        <w:t xml:space="preserve"> . . . . . . . . . </w:t>
      </w:r>
      <w:r>
        <w:rPr>
          <w:rFonts w:ascii="Calibri" w:hAnsi="Calibri" w:cs="Arial"/>
          <w:color w:val="595959" w:themeColor="text1" w:themeTint="A6"/>
          <w:sz w:val="26"/>
        </w:rPr>
        <w:t>. . . . . . . . . . . . . . . . . . . . . .</w:t>
      </w:r>
      <w:r w:rsidRPr="00010D11">
        <w:rPr>
          <w:rFonts w:ascii="Calibri" w:hAnsi="Calibri" w:cs="Arial"/>
          <w:color w:val="595959" w:themeColor="text1" w:themeTint="A6"/>
          <w:sz w:val="26"/>
        </w:rPr>
        <w:t xml:space="preserve"> </w:t>
      </w:r>
      <w:r>
        <w:rPr>
          <w:rFonts w:ascii="Calibri" w:hAnsi="Calibri" w:cs="Arial"/>
          <w:color w:val="595959" w:themeColor="text1" w:themeTint="A6"/>
          <w:sz w:val="26"/>
        </w:rPr>
        <w:t xml:space="preserve">. . . . . . . . . . . . . </w:t>
      </w:r>
    </w:p>
    <w:p w:rsidR="003540B3" w:rsidRPr="003458D0" w:rsidRDefault="003540B3" w:rsidP="003540B3">
      <w:pPr>
        <w:pStyle w:val="Sangra2detindependiente"/>
        <w:rPr>
          <w:rFonts w:ascii="Calibri" w:hAnsi="Calibri"/>
          <w:color w:val="595959" w:themeColor="text1" w:themeTint="A6"/>
          <w:sz w:val="26"/>
        </w:rPr>
      </w:pPr>
    </w:p>
    <w:p w:rsidR="003540B3" w:rsidRPr="003458D0" w:rsidRDefault="003540B3" w:rsidP="003540B3">
      <w:pPr>
        <w:pStyle w:val="Sangra2detindependiente"/>
        <w:rPr>
          <w:rFonts w:ascii="Calibri" w:hAnsi="Calibri"/>
          <w:color w:val="595959" w:themeColor="text1" w:themeTint="A6"/>
          <w:sz w:val="26"/>
        </w:rPr>
      </w:pPr>
      <w:r w:rsidRPr="003458D0">
        <w:rPr>
          <w:rFonts w:ascii="Calibri" w:hAnsi="Calibri"/>
          <w:color w:val="595959" w:themeColor="text1" w:themeTint="A6"/>
          <w:sz w:val="26"/>
        </w:rPr>
        <w:t xml:space="preserve">b).- A dichos inmuebles, para efectos del pago del Impuesto Predial para el ejercicio fiscal del año 2016 dos mil dieciséis, para su base, les tiene asignado como valor fiscal, las cantidades de $14’594,333.00 (Catorce millones quinientos </w:t>
      </w:r>
      <w:r w:rsidRPr="003458D0">
        <w:rPr>
          <w:rFonts w:ascii="Calibri" w:hAnsi="Calibri"/>
          <w:color w:val="595959" w:themeColor="text1" w:themeTint="A6"/>
          <w:sz w:val="26"/>
        </w:rPr>
        <w:lastRenderedPageBreak/>
        <w:t>noventa y cuatro mil trescientos treinta y tres pesos 00/100 Moneda Nacional) y $3’190,000.00 (Tres millones ciento noventa mil pesos 00/100 Moneda Nacional), respectivamente, como consta en los estados de cuenta localizables a foja 28 veintiocho. . . . . . . . . . . . .</w:t>
      </w:r>
      <w:r w:rsidRPr="006258A7">
        <w:rPr>
          <w:rFonts w:ascii="Calibri" w:hAnsi="Calibri" w:cs="Arial"/>
          <w:color w:val="595959" w:themeColor="text1" w:themeTint="A6"/>
          <w:sz w:val="26"/>
        </w:rPr>
        <w:t xml:space="preserve"> </w:t>
      </w:r>
      <w:r>
        <w:rPr>
          <w:rFonts w:ascii="Calibri" w:hAnsi="Calibri" w:cs="Arial"/>
          <w:color w:val="595959" w:themeColor="text1" w:themeTint="A6"/>
          <w:sz w:val="26"/>
        </w:rPr>
        <w:t>. . . . . . . . . . . . . . . . . . . . . .</w:t>
      </w:r>
      <w:r w:rsidRPr="006258A7">
        <w:rPr>
          <w:rFonts w:ascii="Calibri" w:hAnsi="Calibri" w:cs="Arial"/>
          <w:color w:val="595959" w:themeColor="text1" w:themeTint="A6"/>
          <w:sz w:val="26"/>
        </w:rPr>
        <w:t xml:space="preserve"> </w:t>
      </w:r>
      <w:r>
        <w:rPr>
          <w:rFonts w:ascii="Calibri" w:hAnsi="Calibri" w:cs="Arial"/>
          <w:color w:val="595959" w:themeColor="text1" w:themeTint="A6"/>
          <w:sz w:val="26"/>
        </w:rPr>
        <w:t>. . . . . . . . . . . . . . . . . . . . . . . . .</w:t>
      </w:r>
    </w:p>
    <w:p w:rsidR="003540B3" w:rsidRPr="003458D0" w:rsidRDefault="003540B3" w:rsidP="003540B3">
      <w:pPr>
        <w:pStyle w:val="Sangra2detindependiente"/>
        <w:rPr>
          <w:rFonts w:ascii="Calibri" w:hAnsi="Calibri"/>
          <w:color w:val="595959" w:themeColor="text1" w:themeTint="A6"/>
          <w:sz w:val="26"/>
        </w:rPr>
      </w:pPr>
    </w:p>
    <w:p w:rsidR="003540B3" w:rsidRPr="003458D0" w:rsidRDefault="003540B3" w:rsidP="003540B3">
      <w:pPr>
        <w:pStyle w:val="Sangra2detindependiente"/>
        <w:rPr>
          <w:rFonts w:ascii="Calibri" w:hAnsi="Calibri"/>
          <w:color w:val="595959" w:themeColor="text1" w:themeTint="A6"/>
          <w:sz w:val="26"/>
        </w:rPr>
      </w:pPr>
      <w:r w:rsidRPr="003458D0">
        <w:rPr>
          <w:rFonts w:ascii="Calibri" w:hAnsi="Calibri"/>
          <w:color w:val="595959" w:themeColor="text1" w:themeTint="A6"/>
          <w:sz w:val="26"/>
        </w:rPr>
        <w:t xml:space="preserve">c).- Los valores antes referidos, son resultado de la práctica de avalúos realizados por peritos de la Dirección de Impuestos Inmobiliarios. . . . . . . . . </w:t>
      </w:r>
      <w:r>
        <w:rPr>
          <w:rFonts w:ascii="Calibri" w:hAnsi="Calibri"/>
          <w:color w:val="595959" w:themeColor="text1" w:themeTint="A6"/>
          <w:sz w:val="26"/>
        </w:rPr>
        <w:t xml:space="preserve">. . . . . </w:t>
      </w:r>
    </w:p>
    <w:p w:rsidR="003540B3" w:rsidRPr="003458D0" w:rsidRDefault="003540B3" w:rsidP="003540B3">
      <w:pPr>
        <w:pStyle w:val="Sangra2detindependiente"/>
        <w:rPr>
          <w:rFonts w:ascii="Calibri" w:hAnsi="Calibri"/>
          <w:color w:val="595959" w:themeColor="text1" w:themeTint="A6"/>
          <w:sz w:val="26"/>
        </w:rPr>
      </w:pPr>
    </w:p>
    <w:p w:rsidR="003540B3" w:rsidRDefault="003540B3" w:rsidP="003540B3">
      <w:pPr>
        <w:pStyle w:val="Sangra2detindependiente"/>
        <w:rPr>
          <w:rFonts w:ascii="Calibri" w:hAnsi="Calibri" w:cs="Arial"/>
          <w:color w:val="595959" w:themeColor="text1" w:themeTint="A6"/>
          <w:sz w:val="26"/>
        </w:rPr>
      </w:pPr>
      <w:r w:rsidRPr="003458D0">
        <w:rPr>
          <w:rFonts w:ascii="Calibri" w:hAnsi="Calibri"/>
          <w:color w:val="595959" w:themeColor="text1" w:themeTint="A6"/>
          <w:sz w:val="26"/>
        </w:rPr>
        <w:t>c).- En relación a los inmuebles se han realizado determinaciones de crédito y requerimiento de pago, en rela</w:t>
      </w:r>
      <w:r>
        <w:rPr>
          <w:rFonts w:ascii="Calibri" w:hAnsi="Calibri"/>
          <w:color w:val="595959" w:themeColor="text1" w:themeTint="A6"/>
          <w:sz w:val="26"/>
        </w:rPr>
        <w:t xml:space="preserve">ción al Impuesto Predial. . . </w:t>
      </w:r>
      <w:r>
        <w:rPr>
          <w:rFonts w:ascii="Calibri" w:hAnsi="Calibri" w:cs="Arial"/>
          <w:color w:val="595959" w:themeColor="text1" w:themeTint="A6"/>
          <w:sz w:val="26"/>
        </w:rPr>
        <w:t xml:space="preserve">. . . . . . . . . . . . . . . .. </w:t>
      </w:r>
      <w:proofErr w:type="gramStart"/>
      <w:r>
        <w:rPr>
          <w:rFonts w:ascii="Calibri" w:hAnsi="Calibri" w:cs="Arial"/>
          <w:color w:val="595959" w:themeColor="text1" w:themeTint="A6"/>
          <w:sz w:val="26"/>
        </w:rPr>
        <w:t>. .</w:t>
      </w:r>
      <w:proofErr w:type="gramEnd"/>
    </w:p>
    <w:p w:rsidR="003540B3" w:rsidRDefault="003540B3" w:rsidP="003540B3">
      <w:pPr>
        <w:pStyle w:val="Sangra2detindependiente"/>
        <w:rPr>
          <w:rFonts w:ascii="Calibri" w:hAnsi="Calibri" w:cs="Arial"/>
          <w:color w:val="595959" w:themeColor="text1" w:themeTint="A6"/>
          <w:sz w:val="26"/>
        </w:rPr>
      </w:pPr>
    </w:p>
    <w:p w:rsidR="003540B3" w:rsidRPr="003458D0" w:rsidRDefault="003540B3" w:rsidP="003540B3">
      <w:pPr>
        <w:pStyle w:val="Sangra2detindependiente"/>
        <w:rPr>
          <w:rFonts w:ascii="Calibri" w:hAnsi="Calibri"/>
          <w:color w:val="595959" w:themeColor="text1" w:themeTint="A6"/>
          <w:sz w:val="26"/>
        </w:rPr>
      </w:pPr>
    </w:p>
    <w:p w:rsidR="003540B3" w:rsidRDefault="003540B3" w:rsidP="003540B3">
      <w:pPr>
        <w:pStyle w:val="Sangra2detindependiente"/>
        <w:rPr>
          <w:rFonts w:ascii="Calibri" w:hAnsi="Calibri"/>
          <w:color w:val="595959" w:themeColor="text1" w:themeTint="A6"/>
          <w:sz w:val="26"/>
        </w:rPr>
      </w:pPr>
    </w:p>
    <w:p w:rsidR="003540B3" w:rsidRDefault="003540B3" w:rsidP="003540B3">
      <w:pPr>
        <w:pStyle w:val="Sangra2detindependiente"/>
        <w:rPr>
          <w:rFonts w:ascii="Calibri" w:hAnsi="Calibri"/>
          <w:color w:val="595959" w:themeColor="text1" w:themeTint="A6"/>
          <w:sz w:val="26"/>
        </w:rPr>
      </w:pPr>
    </w:p>
    <w:p w:rsidR="003540B3" w:rsidRPr="003458D0" w:rsidRDefault="003540B3" w:rsidP="003540B3">
      <w:pPr>
        <w:pStyle w:val="Sangra2detindependiente"/>
        <w:rPr>
          <w:rFonts w:ascii="Calibri" w:hAnsi="Calibri"/>
          <w:color w:val="595959" w:themeColor="text1" w:themeTint="A6"/>
          <w:sz w:val="26"/>
        </w:rPr>
      </w:pPr>
    </w:p>
    <w:p w:rsidR="003540B3" w:rsidRDefault="003540B3" w:rsidP="003540B3">
      <w:pPr>
        <w:ind w:firstLine="708"/>
        <w:jc w:val="right"/>
        <w:rPr>
          <w:rFonts w:ascii="Calibri" w:hAnsi="Calibri"/>
          <w:b/>
          <w:color w:val="595959" w:themeColor="text1" w:themeTint="A6"/>
          <w:sz w:val="26"/>
          <w:szCs w:val="27"/>
        </w:rPr>
      </w:pPr>
      <w:r>
        <w:rPr>
          <w:rFonts w:ascii="Calibri" w:hAnsi="Calibri"/>
          <w:b/>
          <w:color w:val="595959" w:themeColor="text1" w:themeTint="A6"/>
          <w:sz w:val="26"/>
          <w:szCs w:val="27"/>
        </w:rPr>
        <w:t>Expediente número 450/2016-JN</w:t>
      </w:r>
    </w:p>
    <w:p w:rsidR="003540B3" w:rsidRDefault="003540B3" w:rsidP="003540B3">
      <w:pPr>
        <w:pStyle w:val="Sangra2detindependiente"/>
        <w:rPr>
          <w:rFonts w:ascii="Calibri" w:hAnsi="Calibri"/>
          <w:color w:val="595959" w:themeColor="text1" w:themeTint="A6"/>
          <w:sz w:val="26"/>
        </w:rPr>
      </w:pPr>
    </w:p>
    <w:p w:rsidR="003540B3" w:rsidRPr="003458D0" w:rsidRDefault="003540B3" w:rsidP="003540B3">
      <w:pPr>
        <w:pStyle w:val="Sangra2detindependiente"/>
        <w:rPr>
          <w:rFonts w:ascii="Calibri" w:hAnsi="Calibri"/>
          <w:color w:val="595959" w:themeColor="text1" w:themeTint="A6"/>
          <w:sz w:val="26"/>
        </w:rPr>
      </w:pPr>
      <w:r w:rsidRPr="003458D0">
        <w:rPr>
          <w:rFonts w:ascii="Calibri" w:hAnsi="Calibri"/>
          <w:color w:val="595959" w:themeColor="text1" w:themeTint="A6"/>
          <w:sz w:val="26"/>
        </w:rPr>
        <w:lastRenderedPageBreak/>
        <w:t xml:space="preserve">Avalúos, valores fiscales, determinaciones de crédito y requerimientos de pago, que el justiciable considera ilegales, ya que, entre otros aspectos, manifiesta que no se expidieron las órdenes de valuación respectivas, para proceder a valuar dichos inmuebles; y que no se notificaron debidamente ni la orden, ni los avalúos; negando que se hayan realizado debidamente los mismos; así como tampoco se realizaron de manera legal los procedimientos administrativos de ejecución, para proceder a su cobro en la vía económica coactiva, porque no se le notificó debidamente. . . . . . . . . . . . . . . . . . . . . . . . . . . . . </w:t>
      </w:r>
      <w:r>
        <w:rPr>
          <w:rFonts w:ascii="Calibri" w:hAnsi="Calibri" w:cs="Arial"/>
          <w:color w:val="595959" w:themeColor="text1" w:themeTint="A6"/>
          <w:sz w:val="26"/>
        </w:rPr>
        <w:t>. . . . . . . . . . . . . . . . . . . . . . . . . . . . .</w:t>
      </w:r>
    </w:p>
    <w:p w:rsidR="003540B3" w:rsidRPr="003458D0" w:rsidRDefault="003540B3" w:rsidP="003540B3">
      <w:pPr>
        <w:pStyle w:val="Sangra2detindependiente"/>
        <w:rPr>
          <w:rFonts w:ascii="Calibri" w:hAnsi="Calibri"/>
          <w:color w:val="595959" w:themeColor="text1" w:themeTint="A6"/>
          <w:sz w:val="26"/>
        </w:rPr>
      </w:pPr>
    </w:p>
    <w:p w:rsidR="003540B3" w:rsidRPr="003458D0" w:rsidRDefault="003540B3" w:rsidP="003540B3">
      <w:pPr>
        <w:pStyle w:val="Sangra2detindependiente"/>
        <w:rPr>
          <w:rFonts w:ascii="Calibri" w:hAnsi="Calibri"/>
          <w:color w:val="595959" w:themeColor="text1" w:themeTint="A6"/>
          <w:sz w:val="26"/>
        </w:rPr>
      </w:pPr>
      <w:r w:rsidRPr="003458D0">
        <w:rPr>
          <w:rFonts w:ascii="Calibri" w:hAnsi="Calibri"/>
          <w:color w:val="595959" w:themeColor="text1" w:themeTint="A6"/>
          <w:sz w:val="26"/>
        </w:rPr>
        <w:tab/>
        <w:t xml:space="preserve">A lo expresado por el justiciable, las autoridades demandadas, argumentaron, en lo general, que a diferencia de lo expresado, sí se llevó a cabo el procedimiento establecido en la Ley de Hacienda aplicable. . . . . . . . . . . . . . . . . . </w:t>
      </w:r>
    </w:p>
    <w:p w:rsidR="003540B3" w:rsidRPr="003458D0" w:rsidRDefault="003540B3" w:rsidP="003540B3">
      <w:pPr>
        <w:pStyle w:val="Sangra2detindependiente"/>
        <w:rPr>
          <w:rFonts w:ascii="Calibri" w:hAnsi="Calibri"/>
          <w:color w:val="595959" w:themeColor="text1" w:themeTint="A6"/>
          <w:sz w:val="26"/>
        </w:rPr>
      </w:pPr>
    </w:p>
    <w:p w:rsidR="003540B3" w:rsidRPr="003458D0" w:rsidRDefault="003540B3" w:rsidP="003540B3">
      <w:pPr>
        <w:pStyle w:val="Sangra2detindependiente"/>
        <w:rPr>
          <w:rFonts w:ascii="Calibri" w:hAnsi="Calibri"/>
          <w:color w:val="595959" w:themeColor="text1" w:themeTint="A6"/>
          <w:sz w:val="26"/>
        </w:rPr>
      </w:pPr>
      <w:r w:rsidRPr="003458D0">
        <w:rPr>
          <w:rFonts w:ascii="Calibri" w:hAnsi="Calibri" w:cs="Calibri"/>
          <w:color w:val="595959" w:themeColor="text1" w:themeTint="A6"/>
          <w:sz w:val="26"/>
          <w:szCs w:val="26"/>
        </w:rPr>
        <w:t xml:space="preserve">Así las cosas, la “Litis” planteada se hace consistir en determinar la legalidad o ilegalidad de los actos impugnados, materia de este proceso administrativo, a fin de reconocer su validez o decretar su nulidad. . . . . . . . . . . . . </w:t>
      </w:r>
      <w:r>
        <w:rPr>
          <w:rFonts w:ascii="Calibri" w:hAnsi="Calibri" w:cs="Arial"/>
          <w:color w:val="595959" w:themeColor="text1" w:themeTint="A6"/>
          <w:sz w:val="26"/>
        </w:rPr>
        <w:t xml:space="preserve">. . . . . . . . . . . . . . . . . . </w:t>
      </w:r>
    </w:p>
    <w:p w:rsidR="003540B3" w:rsidRPr="003458D0" w:rsidRDefault="003540B3" w:rsidP="003540B3">
      <w:pPr>
        <w:pStyle w:val="Textoindependiente"/>
        <w:rPr>
          <w:rFonts w:ascii="Calibri" w:hAnsi="Calibri"/>
          <w:color w:val="595959" w:themeColor="text1" w:themeTint="A6"/>
          <w:sz w:val="26"/>
        </w:rPr>
      </w:pPr>
    </w:p>
    <w:p w:rsidR="003540B3" w:rsidRPr="003458D0" w:rsidRDefault="003540B3" w:rsidP="003540B3">
      <w:pPr>
        <w:pStyle w:val="Textoindependiente"/>
        <w:ind w:firstLine="708"/>
        <w:rPr>
          <w:rFonts w:ascii="Calibri" w:hAnsi="Calibri"/>
          <w:color w:val="595959" w:themeColor="text1" w:themeTint="A6"/>
          <w:sz w:val="26"/>
        </w:rPr>
      </w:pPr>
      <w:r w:rsidRPr="003458D0">
        <w:rPr>
          <w:rFonts w:ascii="Calibri" w:hAnsi="Calibri"/>
          <w:b/>
          <w:bCs/>
          <w:i/>
          <w:iCs/>
          <w:color w:val="595959" w:themeColor="text1" w:themeTint="A6"/>
          <w:sz w:val="26"/>
        </w:rPr>
        <w:lastRenderedPageBreak/>
        <w:t>SEXTO.-</w:t>
      </w:r>
      <w:r w:rsidRPr="003458D0">
        <w:rPr>
          <w:rFonts w:ascii="Calibri" w:hAnsi="Calibri"/>
          <w:color w:val="595959" w:themeColor="text1" w:themeTint="A6"/>
          <w:sz w:val="26"/>
        </w:rPr>
        <w:t xml:space="preserve"> No existiendo impedimento legal, se procede al estudio de los conceptos de impugnación expresados por el actor en su escrito de demanda. . . . </w:t>
      </w:r>
    </w:p>
    <w:p w:rsidR="003540B3" w:rsidRPr="003458D0" w:rsidRDefault="003540B3" w:rsidP="003540B3">
      <w:pPr>
        <w:pStyle w:val="Textoindependiente"/>
        <w:rPr>
          <w:rFonts w:ascii="Calibri" w:hAnsi="Calibri"/>
          <w:b/>
          <w:color w:val="595959" w:themeColor="text1" w:themeTint="A6"/>
          <w:sz w:val="26"/>
        </w:rPr>
      </w:pPr>
    </w:p>
    <w:p w:rsidR="003540B3" w:rsidRPr="003458D0" w:rsidRDefault="003540B3" w:rsidP="003540B3">
      <w:pPr>
        <w:pStyle w:val="Sangra3detindependiente"/>
        <w:rPr>
          <w:color w:val="595959" w:themeColor="text1" w:themeTint="A6"/>
        </w:rPr>
      </w:pPr>
      <w:r w:rsidRPr="003458D0">
        <w:rPr>
          <w:color w:val="595959" w:themeColor="text1" w:themeTint="A6"/>
        </w:rPr>
        <w:t xml:space="preserve">Este Juzgador de manera primordial procederá al análisis del concepto de impugnación, aplicando el principio de mayor consecuencia anulatoria de la resolución impugnada y que pudieran traer mayor beneficio a la parte actora en concordancia con los principios de congruencia y exhaustividad que deben regir en toda sentencia y, además, atendiendo a un orden cronológico que se debe seguir para la emisión de los actos combatidos, por ser unos consecuencia de unos que deben ser primitivos, como lo serían las órdenes de valuación. . . . . . . . . </w:t>
      </w:r>
      <w:r>
        <w:rPr>
          <w:color w:val="595959" w:themeColor="text1" w:themeTint="A6"/>
        </w:rPr>
        <w:t>. . . . .</w:t>
      </w:r>
    </w:p>
    <w:p w:rsidR="003540B3" w:rsidRPr="003458D0" w:rsidRDefault="003540B3" w:rsidP="003540B3">
      <w:pPr>
        <w:jc w:val="both"/>
        <w:rPr>
          <w:rFonts w:ascii="Calibri" w:hAnsi="Calibri"/>
          <w:color w:val="595959" w:themeColor="text1" w:themeTint="A6"/>
          <w:sz w:val="26"/>
          <w:szCs w:val="27"/>
        </w:rPr>
      </w:pPr>
    </w:p>
    <w:p w:rsidR="003540B3" w:rsidRPr="003458D0" w:rsidRDefault="003540B3" w:rsidP="003540B3">
      <w:pPr>
        <w:ind w:firstLine="708"/>
        <w:jc w:val="both"/>
        <w:rPr>
          <w:rFonts w:ascii="Calibri" w:hAnsi="Calibri"/>
          <w:color w:val="595959" w:themeColor="text1" w:themeTint="A6"/>
          <w:sz w:val="26"/>
        </w:rPr>
      </w:pPr>
      <w:r w:rsidRPr="003458D0">
        <w:rPr>
          <w:rFonts w:ascii="Calibri" w:hAnsi="Calibri"/>
          <w:color w:val="595959" w:themeColor="text1" w:themeTint="A6"/>
          <w:sz w:val="26"/>
          <w:szCs w:val="27"/>
        </w:rPr>
        <w:t>Así pues, de los conceptos de impugnación esgrimido</w:t>
      </w:r>
      <w:r w:rsidRPr="003458D0">
        <w:rPr>
          <w:rFonts w:ascii="Calibri" w:hAnsi="Calibri"/>
          <w:color w:val="595959" w:themeColor="text1" w:themeTint="A6"/>
          <w:sz w:val="26"/>
        </w:rPr>
        <w:t>s, este Juzgador se avocará al estudio de los conceptos que se consideran trascendental</w:t>
      </w:r>
      <w:r>
        <w:rPr>
          <w:rFonts w:ascii="Calibri" w:hAnsi="Calibri"/>
          <w:color w:val="595959" w:themeColor="text1" w:themeTint="A6"/>
          <w:sz w:val="26"/>
        </w:rPr>
        <w:t>es</w:t>
      </w:r>
      <w:r w:rsidRPr="003458D0">
        <w:rPr>
          <w:rFonts w:ascii="Calibri" w:hAnsi="Calibri"/>
          <w:color w:val="595959" w:themeColor="text1" w:themeTint="A6"/>
          <w:sz w:val="26"/>
        </w:rPr>
        <w:t xml:space="preserve"> para emitir la presente resolución, como lo son los señalados como segundo y sexto, por estar íntimamente relacionados entre sí; sin necesidad de transcribirlos en su totalidad así como tampoco los restantes; sirviendo para ello el criterio sostenido por la Suprema Corte de Justicia de la Nación, en la siguiente Jurisprudencia: . . . . </w:t>
      </w:r>
      <w:r>
        <w:rPr>
          <w:rFonts w:ascii="Calibri" w:hAnsi="Calibri"/>
          <w:color w:val="595959" w:themeColor="text1" w:themeTint="A6"/>
          <w:sz w:val="26"/>
        </w:rPr>
        <w:t>. . . . .</w:t>
      </w:r>
    </w:p>
    <w:p w:rsidR="003540B3" w:rsidRPr="003458D0" w:rsidRDefault="003540B3" w:rsidP="003540B3">
      <w:pPr>
        <w:jc w:val="both"/>
        <w:rPr>
          <w:rFonts w:ascii="Calibri" w:hAnsi="Calibri"/>
          <w:color w:val="595959" w:themeColor="text1" w:themeTint="A6"/>
          <w:sz w:val="26"/>
        </w:rPr>
      </w:pPr>
    </w:p>
    <w:p w:rsidR="003540B3" w:rsidRPr="003458D0" w:rsidRDefault="003540B3" w:rsidP="003540B3">
      <w:pPr>
        <w:ind w:firstLine="708"/>
        <w:jc w:val="both"/>
        <w:rPr>
          <w:rFonts w:ascii="Calibri" w:hAnsi="Calibri"/>
          <w:i/>
          <w:iCs/>
          <w:color w:val="595959" w:themeColor="text1" w:themeTint="A6"/>
          <w:sz w:val="26"/>
          <w:szCs w:val="26"/>
        </w:rPr>
      </w:pPr>
      <w:r w:rsidRPr="003458D0">
        <w:rPr>
          <w:rFonts w:ascii="Calibri" w:hAnsi="Calibri"/>
          <w:b/>
          <w:i/>
          <w:iCs/>
          <w:color w:val="595959" w:themeColor="text1" w:themeTint="A6"/>
          <w:sz w:val="26"/>
          <w:szCs w:val="26"/>
        </w:rPr>
        <w:t>“CONCEPTOS DE VIOLACIÓN. EL JUEZ NO ESTÁ OBLIGADO A TRANSCRIBIRLOS.</w:t>
      </w:r>
      <w:r w:rsidRPr="003458D0">
        <w:rPr>
          <w:rFonts w:ascii="Calibri" w:hAnsi="Calibri"/>
          <w:i/>
          <w:iCs/>
          <w:color w:val="595959" w:themeColor="text1" w:themeTint="A6"/>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3458D0">
        <w:rPr>
          <w:rFonts w:ascii="Calibri" w:hAnsi="Calibri"/>
          <w:bCs/>
          <w:i/>
          <w:iCs/>
          <w:color w:val="595959" w:themeColor="text1" w:themeTint="A6"/>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3458D0">
        <w:rPr>
          <w:rFonts w:ascii="Calibri" w:hAnsi="Calibri"/>
          <w:bCs/>
          <w:i/>
          <w:iCs/>
          <w:color w:val="595959" w:themeColor="text1" w:themeTint="A6"/>
          <w:szCs w:val="27"/>
        </w:rPr>
        <w:t xml:space="preserve"> </w:t>
      </w:r>
      <w:r w:rsidRPr="003458D0">
        <w:rPr>
          <w:rFonts w:ascii="Calibri" w:hAnsi="Calibri"/>
          <w:bCs/>
          <w:i/>
          <w:iCs/>
          <w:color w:val="595959" w:themeColor="text1" w:themeTint="A6"/>
          <w:sz w:val="20"/>
          <w:szCs w:val="20"/>
        </w:rPr>
        <w:t>S</w:t>
      </w:r>
      <w:r w:rsidRPr="003458D0">
        <w:rPr>
          <w:rFonts w:ascii="Calibri" w:hAnsi="Calibri"/>
          <w:bCs/>
          <w:color w:val="595959" w:themeColor="text1" w:themeTint="A6"/>
          <w:sz w:val="20"/>
          <w:szCs w:val="20"/>
        </w:rPr>
        <w:t xml:space="preserve">EGUNDO TRIBUNAL COLEGIADO DEL SEXTO CIRCUITO. No. Registro: 196,477. Jurisprudencia, Materia(s): Común, Novena Época, Instancia: Tribunales Colegiados de Circuito, Fuente: Semanario Judicial de la </w:t>
      </w:r>
      <w:r w:rsidRPr="003458D0">
        <w:rPr>
          <w:rFonts w:ascii="Calibri" w:hAnsi="Calibri" w:cs="David Transparent"/>
          <w:bCs/>
          <w:color w:val="595959" w:themeColor="text1" w:themeTint="A6"/>
          <w:sz w:val="20"/>
          <w:szCs w:val="20"/>
        </w:rPr>
        <w:t>Federación</w:t>
      </w:r>
      <w:r w:rsidRPr="003458D0">
        <w:rPr>
          <w:rFonts w:ascii="Calibri" w:hAnsi="Calibri"/>
          <w:bCs/>
          <w:color w:val="595959" w:themeColor="text1" w:themeTint="A6"/>
          <w:sz w:val="20"/>
          <w:szCs w:val="20"/>
        </w:rPr>
        <w:t xml:space="preserve"> y su Gaceta. VII, Abril de 1998, Tesis: VI.2o. J/129. Página: 599</w:t>
      </w:r>
      <w:r w:rsidRPr="003458D0">
        <w:rPr>
          <w:rFonts w:ascii="Calibri" w:hAnsi="Calibri"/>
          <w:bCs/>
          <w:color w:val="595959" w:themeColor="text1" w:themeTint="A6"/>
          <w:szCs w:val="27"/>
        </w:rPr>
        <w:t xml:space="preserve">. . . . . . . . . . . . . . . . . . . . . . . . . . . . . . . . </w:t>
      </w:r>
    </w:p>
    <w:p w:rsidR="003540B3" w:rsidRPr="003458D0" w:rsidRDefault="003540B3" w:rsidP="003540B3">
      <w:pPr>
        <w:pStyle w:val="Textoindependiente"/>
        <w:ind w:firstLine="708"/>
        <w:rPr>
          <w:rFonts w:ascii="Calibri" w:hAnsi="Calibri"/>
          <w:color w:val="595959" w:themeColor="text1" w:themeTint="A6"/>
          <w:sz w:val="26"/>
          <w:szCs w:val="27"/>
        </w:rPr>
      </w:pPr>
      <w:r w:rsidRPr="003458D0">
        <w:rPr>
          <w:rFonts w:ascii="Calibri" w:hAnsi="Calibri"/>
          <w:color w:val="595959" w:themeColor="text1" w:themeTint="A6"/>
          <w:sz w:val="26"/>
          <w:szCs w:val="27"/>
        </w:rPr>
        <w:t xml:space="preserve">Así las cosas, en los señalados conceptos de impugnación, el actor señaló: </w:t>
      </w:r>
    </w:p>
    <w:p w:rsidR="003540B3" w:rsidRPr="003458D0" w:rsidRDefault="003540B3" w:rsidP="003540B3">
      <w:pPr>
        <w:pStyle w:val="Textoindependiente"/>
        <w:ind w:firstLine="708"/>
        <w:rPr>
          <w:rFonts w:ascii="Calibri" w:hAnsi="Calibri"/>
          <w:color w:val="595959" w:themeColor="text1" w:themeTint="A6"/>
          <w:sz w:val="26"/>
          <w:szCs w:val="27"/>
        </w:rPr>
      </w:pPr>
    </w:p>
    <w:p w:rsidR="003540B3" w:rsidRPr="003458D0" w:rsidRDefault="003540B3" w:rsidP="003540B3">
      <w:pPr>
        <w:pStyle w:val="Textoindependiente"/>
        <w:ind w:firstLine="708"/>
        <w:rPr>
          <w:rFonts w:ascii="Calibri" w:hAnsi="Calibri"/>
          <w:i/>
          <w:color w:val="595959" w:themeColor="text1" w:themeTint="A6"/>
          <w:sz w:val="26"/>
          <w:szCs w:val="27"/>
        </w:rPr>
      </w:pPr>
      <w:r w:rsidRPr="003458D0">
        <w:rPr>
          <w:rFonts w:ascii="Calibri" w:hAnsi="Calibri"/>
          <w:b/>
          <w:i/>
          <w:color w:val="595959" w:themeColor="text1" w:themeTint="A6"/>
          <w:sz w:val="26"/>
          <w:szCs w:val="27"/>
        </w:rPr>
        <w:t xml:space="preserve">“SEGUNDO.- </w:t>
      </w:r>
      <w:r w:rsidRPr="003458D0">
        <w:rPr>
          <w:rFonts w:ascii="Calibri" w:hAnsi="Calibri"/>
          <w:i/>
          <w:color w:val="595959" w:themeColor="text1" w:themeTint="A6"/>
          <w:sz w:val="26"/>
          <w:szCs w:val="27"/>
        </w:rPr>
        <w:t xml:space="preserve">En cuanto a los actos demandados en esta vía, concretamente el avalúo……….las autoridades demandadas no practicaron un avalúo…….sin que obre constancia escrita que contenga la </w:t>
      </w:r>
      <w:proofErr w:type="spellStart"/>
      <w:r w:rsidRPr="003458D0">
        <w:rPr>
          <w:rFonts w:ascii="Calibri" w:hAnsi="Calibri"/>
          <w:i/>
          <w:color w:val="595959" w:themeColor="text1" w:themeTint="A6"/>
          <w:sz w:val="26"/>
          <w:szCs w:val="27"/>
        </w:rPr>
        <w:t>órden</w:t>
      </w:r>
      <w:proofErr w:type="spellEnd"/>
      <w:r w:rsidRPr="003458D0">
        <w:rPr>
          <w:rFonts w:ascii="Calibri" w:hAnsi="Calibri"/>
          <w:i/>
          <w:color w:val="595959" w:themeColor="text1" w:themeTint="A6"/>
          <w:sz w:val="26"/>
          <w:szCs w:val="27"/>
        </w:rPr>
        <w:t xml:space="preserve"> u autorización para la elaboración de un avalúo, mucho menos aún existe constancia de que me haya sido notificado el resultado….del avalúo practicado.</w:t>
      </w:r>
      <w:r w:rsidRPr="003458D0">
        <w:rPr>
          <w:rFonts w:ascii="Calibri" w:hAnsi="Calibri"/>
          <w:b/>
          <w:i/>
          <w:color w:val="595959" w:themeColor="text1" w:themeTint="A6"/>
          <w:sz w:val="26"/>
          <w:szCs w:val="27"/>
        </w:rPr>
        <w:t>”</w:t>
      </w:r>
      <w:r w:rsidRPr="003458D0">
        <w:rPr>
          <w:rFonts w:ascii="Calibri" w:hAnsi="Calibri"/>
          <w:i/>
          <w:color w:val="595959" w:themeColor="text1" w:themeTint="A6"/>
          <w:sz w:val="26"/>
          <w:szCs w:val="27"/>
        </w:rPr>
        <w:t xml:space="preserve">. . . . . . . . . . . . . . . . . . . .  </w:t>
      </w:r>
      <w:r>
        <w:rPr>
          <w:rFonts w:ascii="Calibri" w:hAnsi="Calibri" w:cs="Arial"/>
          <w:color w:val="595959" w:themeColor="text1" w:themeTint="A6"/>
          <w:sz w:val="26"/>
          <w:szCs w:val="27"/>
        </w:rPr>
        <w:t xml:space="preserve">. . . . . . . . . . . . . . . . . . </w:t>
      </w:r>
    </w:p>
    <w:p w:rsidR="003540B3" w:rsidRPr="003458D0" w:rsidRDefault="003540B3" w:rsidP="003540B3">
      <w:pPr>
        <w:pStyle w:val="Textoindependiente"/>
        <w:ind w:firstLine="708"/>
        <w:rPr>
          <w:rFonts w:ascii="Calibri" w:hAnsi="Calibri"/>
          <w:i/>
          <w:color w:val="595959" w:themeColor="text1" w:themeTint="A6"/>
          <w:sz w:val="26"/>
          <w:szCs w:val="27"/>
        </w:rPr>
      </w:pPr>
    </w:p>
    <w:p w:rsidR="003540B3" w:rsidRPr="003458D0" w:rsidRDefault="003540B3" w:rsidP="003540B3">
      <w:pPr>
        <w:pStyle w:val="Textoindependiente"/>
        <w:ind w:firstLine="708"/>
        <w:rPr>
          <w:rFonts w:ascii="Calibri" w:hAnsi="Calibri"/>
          <w:i/>
          <w:color w:val="595959" w:themeColor="text1" w:themeTint="A6"/>
          <w:sz w:val="26"/>
          <w:szCs w:val="27"/>
        </w:rPr>
      </w:pPr>
      <w:r w:rsidRPr="003458D0">
        <w:rPr>
          <w:rFonts w:ascii="Calibri" w:hAnsi="Calibri"/>
          <w:b/>
          <w:i/>
          <w:color w:val="595959" w:themeColor="text1" w:themeTint="A6"/>
          <w:sz w:val="26"/>
          <w:szCs w:val="27"/>
        </w:rPr>
        <w:t xml:space="preserve">“SEXTO.- </w:t>
      </w:r>
      <w:r w:rsidRPr="003458D0">
        <w:rPr>
          <w:rFonts w:ascii="Calibri" w:hAnsi="Calibri"/>
          <w:i/>
          <w:color w:val="595959" w:themeColor="text1" w:themeTint="A6"/>
          <w:sz w:val="26"/>
          <w:szCs w:val="27"/>
        </w:rPr>
        <w:t xml:space="preserve">Los actos……..concretamente el avalúo…….me causan agravio y me perjudican……..siendo que la práctica de los avalúos debe ser ordenada por escrito por la Tesorería, y los resultados del avalúo y la determinación debieron de notificárseme, en el caso…….la </w:t>
      </w:r>
      <w:proofErr w:type="spellStart"/>
      <w:r w:rsidRPr="003458D0">
        <w:rPr>
          <w:rFonts w:ascii="Calibri" w:hAnsi="Calibri"/>
          <w:i/>
          <w:color w:val="595959" w:themeColor="text1" w:themeTint="A6"/>
          <w:sz w:val="26"/>
          <w:szCs w:val="27"/>
        </w:rPr>
        <w:t>órden</w:t>
      </w:r>
      <w:proofErr w:type="spellEnd"/>
      <w:r w:rsidRPr="003458D0">
        <w:rPr>
          <w:rFonts w:ascii="Calibri" w:hAnsi="Calibri"/>
          <w:i/>
          <w:color w:val="595959" w:themeColor="text1" w:themeTint="A6"/>
          <w:sz w:val="26"/>
          <w:szCs w:val="27"/>
        </w:rPr>
        <w:t xml:space="preserve"> escrita de la práctica del avalúo…………., no fueron hechas o si fue realizadas no me fueron notificados, ni tampoco el resultado o del avalúo y la determinación del impuesto</w:t>
      </w:r>
      <w:r w:rsidRPr="00010D11">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 . . . . . . . . . . . . . . . . . . . .</w:t>
      </w:r>
      <w:r w:rsidRPr="00010D11">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 . </w:t>
      </w:r>
    </w:p>
    <w:p w:rsidR="003540B3" w:rsidRPr="003458D0" w:rsidRDefault="003540B3" w:rsidP="003540B3">
      <w:pPr>
        <w:pStyle w:val="Textoindependiente"/>
        <w:ind w:firstLine="708"/>
        <w:rPr>
          <w:rFonts w:ascii="Calibri" w:hAnsi="Calibri"/>
          <w:i/>
          <w:color w:val="595959" w:themeColor="text1" w:themeTint="A6"/>
          <w:sz w:val="26"/>
          <w:szCs w:val="27"/>
        </w:rPr>
      </w:pPr>
    </w:p>
    <w:p w:rsidR="003540B3" w:rsidRPr="003458D0" w:rsidRDefault="003540B3" w:rsidP="003540B3">
      <w:pPr>
        <w:pStyle w:val="Textoindependiente"/>
        <w:ind w:firstLine="708"/>
        <w:rPr>
          <w:rFonts w:ascii="Calibri" w:hAnsi="Calibri"/>
          <w:i/>
          <w:color w:val="595959" w:themeColor="text1" w:themeTint="A6"/>
          <w:sz w:val="26"/>
          <w:szCs w:val="27"/>
        </w:rPr>
      </w:pPr>
      <w:r w:rsidRPr="003458D0">
        <w:rPr>
          <w:rFonts w:ascii="Calibri" w:hAnsi="Calibri"/>
          <w:i/>
          <w:color w:val="595959" w:themeColor="text1" w:themeTint="A6"/>
          <w:sz w:val="26"/>
          <w:szCs w:val="27"/>
        </w:rPr>
        <w:lastRenderedPageBreak/>
        <w:t>Tales actividades ilegales e irregulares de la autoridad generan un estado de incertidumbre jurídica en virtud de que no se siguen ni se aplican las formalidades…….previstas en……..la Ley de Hacienda para los Municipios del Estado de Guanajuato.</w:t>
      </w:r>
      <w:r w:rsidRPr="003458D0">
        <w:rPr>
          <w:rFonts w:ascii="Calibri" w:hAnsi="Calibri"/>
          <w:b/>
          <w:i/>
          <w:color w:val="595959" w:themeColor="text1" w:themeTint="A6"/>
          <w:sz w:val="26"/>
          <w:szCs w:val="27"/>
        </w:rPr>
        <w:t>”</w:t>
      </w:r>
      <w:r w:rsidRPr="003458D0">
        <w:rPr>
          <w:rFonts w:ascii="Calibri" w:hAnsi="Calibri"/>
          <w:color w:val="595959" w:themeColor="text1" w:themeTint="A6"/>
          <w:sz w:val="26"/>
          <w:szCs w:val="27"/>
        </w:rPr>
        <w:t>. . . . . . . . . . . . . . . . . . . . . . . . . . . . . . . . . . . . . . . . . . . . .</w:t>
      </w:r>
      <w:r>
        <w:rPr>
          <w:rFonts w:ascii="Calibri" w:hAnsi="Calibri"/>
          <w:i/>
          <w:color w:val="595959" w:themeColor="text1" w:themeTint="A6"/>
          <w:sz w:val="26"/>
          <w:szCs w:val="27"/>
        </w:rPr>
        <w:t xml:space="preserve"> . . . .</w:t>
      </w:r>
    </w:p>
    <w:p w:rsidR="003540B3" w:rsidRDefault="003540B3" w:rsidP="003540B3">
      <w:pPr>
        <w:ind w:firstLine="708"/>
        <w:jc w:val="both"/>
        <w:rPr>
          <w:rFonts w:asciiTheme="minorHAnsi" w:hAnsiTheme="minorHAnsi"/>
          <w:color w:val="595959" w:themeColor="text1" w:themeTint="A6"/>
          <w:sz w:val="26"/>
          <w:szCs w:val="26"/>
        </w:rPr>
      </w:pPr>
    </w:p>
    <w:p w:rsidR="003540B3" w:rsidRPr="003458D0" w:rsidRDefault="003540B3" w:rsidP="003540B3">
      <w:pPr>
        <w:ind w:firstLine="708"/>
        <w:jc w:val="both"/>
        <w:rPr>
          <w:rFonts w:asciiTheme="minorHAnsi" w:hAnsiTheme="minorHAnsi"/>
          <w:color w:val="595959" w:themeColor="text1" w:themeTint="A6"/>
          <w:sz w:val="26"/>
          <w:szCs w:val="26"/>
        </w:rPr>
      </w:pPr>
      <w:r w:rsidRPr="003458D0">
        <w:rPr>
          <w:rFonts w:asciiTheme="minorHAnsi" w:hAnsiTheme="minorHAnsi"/>
          <w:color w:val="595959" w:themeColor="text1" w:themeTint="A6"/>
          <w:sz w:val="26"/>
          <w:szCs w:val="26"/>
        </w:rPr>
        <w:t xml:space="preserve">Por su parte, las autoridades demandadas, en sus escritos de contestación, en relación a lo expresado por el actor, insistieron en que se cumplió con las formalidades  legales y que un avalúo, el realizado en el año 2010 dos mil diez, se realizó a solicitud del contribuyente. . . . . . . . . . . . . . . . . . . . . . . . . . </w:t>
      </w:r>
      <w:r>
        <w:rPr>
          <w:rFonts w:ascii="Calibri" w:hAnsi="Calibri" w:cs="Arial"/>
          <w:color w:val="595959" w:themeColor="text1" w:themeTint="A6"/>
          <w:sz w:val="26"/>
          <w:szCs w:val="27"/>
        </w:rPr>
        <w:t xml:space="preserve">. . . . . . . . . . . . . </w:t>
      </w:r>
    </w:p>
    <w:p w:rsidR="003540B3" w:rsidRPr="003458D0" w:rsidRDefault="003540B3" w:rsidP="003540B3">
      <w:pPr>
        <w:pStyle w:val="Normal0"/>
        <w:autoSpaceDE/>
        <w:autoSpaceDN/>
        <w:adjustRightInd/>
        <w:rPr>
          <w:rFonts w:ascii="Times New Roman" w:hAnsi="Times New Roman" w:cs="Times New Roman"/>
          <w:color w:val="595959" w:themeColor="text1" w:themeTint="A6"/>
        </w:rPr>
      </w:pPr>
    </w:p>
    <w:p w:rsidR="003540B3" w:rsidRPr="003458D0" w:rsidRDefault="003540B3" w:rsidP="003540B3">
      <w:pPr>
        <w:pStyle w:val="Textoindependiente"/>
        <w:ind w:firstLine="708"/>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 xml:space="preserve">Analizado lo expresado por las partes, así como las constancias que obran en este sumario; este Juzgador considera que son </w:t>
      </w:r>
      <w:r w:rsidRPr="003458D0">
        <w:rPr>
          <w:rFonts w:ascii="Calibri" w:hAnsi="Calibri" w:cs="Arial"/>
          <w:b/>
          <w:bCs/>
          <w:color w:val="595959" w:themeColor="text1" w:themeTint="A6"/>
          <w:sz w:val="26"/>
          <w:szCs w:val="26"/>
        </w:rPr>
        <w:t>fundados los</w:t>
      </w:r>
      <w:r w:rsidRPr="003458D0">
        <w:rPr>
          <w:rFonts w:ascii="Calibri" w:hAnsi="Calibri" w:cs="Arial"/>
          <w:bCs/>
          <w:color w:val="595959" w:themeColor="text1" w:themeTint="A6"/>
          <w:sz w:val="26"/>
          <w:szCs w:val="26"/>
        </w:rPr>
        <w:t xml:space="preserve"> argumentos contenidos en los conceptos de impugnación en estudio</w:t>
      </w:r>
      <w:r w:rsidRPr="003458D0">
        <w:rPr>
          <w:rFonts w:ascii="Calibri" w:hAnsi="Calibri" w:cs="Arial"/>
          <w:color w:val="595959" w:themeColor="text1" w:themeTint="A6"/>
          <w:sz w:val="26"/>
          <w:szCs w:val="26"/>
        </w:rPr>
        <w:t xml:space="preserve">; pues el </w:t>
      </w:r>
      <w:r w:rsidRPr="003458D0">
        <w:rPr>
          <w:rFonts w:ascii="Calibri" w:hAnsi="Calibri" w:cs="Arial"/>
          <w:b/>
          <w:color w:val="595959" w:themeColor="text1" w:themeTint="A6"/>
          <w:sz w:val="26"/>
          <w:szCs w:val="26"/>
        </w:rPr>
        <w:t>procedimiento de valuación</w:t>
      </w:r>
      <w:r w:rsidRPr="003458D0">
        <w:rPr>
          <w:rFonts w:ascii="Calibri" w:hAnsi="Calibri" w:cs="Arial"/>
          <w:color w:val="595959" w:themeColor="text1" w:themeTint="A6"/>
          <w:sz w:val="26"/>
          <w:szCs w:val="26"/>
        </w:rPr>
        <w:t xml:space="preserve"> de los inmuebles propiedad del impugnador, se siguió en franca violación a lo previsto en los artículos 79, 81, 176 y 177 de la Ley de Hacienda para los Municipios del Estado de Guanajuato, pues ni la orden de valuación ni los resultados del avalúo y determinación del impuesto, fueron debidamente notificados al ciudadano </w:t>
      </w:r>
      <w:r>
        <w:rPr>
          <w:rFonts w:ascii="Calibri" w:hAnsi="Calibri" w:cs="Arial"/>
          <w:color w:val="595959" w:themeColor="text1" w:themeTint="A6"/>
          <w:sz w:val="26"/>
          <w:szCs w:val="26"/>
        </w:rPr>
        <w:t>*****</w:t>
      </w:r>
      <w:r w:rsidRPr="003458D0">
        <w:rPr>
          <w:rFonts w:ascii="Calibri" w:hAnsi="Calibri" w:cs="Arial"/>
          <w:color w:val="595959" w:themeColor="text1" w:themeTint="A6"/>
          <w:sz w:val="26"/>
          <w:szCs w:val="26"/>
        </w:rPr>
        <w:t xml:space="preserve">, en los términos señalados en la ley respectiva. . . . . . . . . . . . . . . . . . . . . . . . . . . . . . . . . . . . </w:t>
      </w:r>
      <w:r>
        <w:rPr>
          <w:rFonts w:ascii="Calibri" w:hAnsi="Calibri" w:cs="Arial"/>
          <w:color w:val="595959" w:themeColor="text1" w:themeTint="A6"/>
          <w:sz w:val="26"/>
          <w:szCs w:val="27"/>
        </w:rPr>
        <w:t>. . . . . . . . . . . . . . . . . . . . . .</w:t>
      </w:r>
    </w:p>
    <w:p w:rsidR="003540B3" w:rsidRPr="003458D0" w:rsidRDefault="003540B3" w:rsidP="003540B3">
      <w:pPr>
        <w:pStyle w:val="Textoindependiente"/>
        <w:ind w:firstLine="708"/>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 xml:space="preserve"> </w:t>
      </w:r>
    </w:p>
    <w:p w:rsidR="003540B3" w:rsidRDefault="003540B3" w:rsidP="003540B3">
      <w:pPr>
        <w:pStyle w:val="Textoindependiente"/>
        <w:ind w:firstLine="708"/>
        <w:rPr>
          <w:rFonts w:ascii="Calibri" w:hAnsi="Calibri" w:cs="Arial"/>
          <w:color w:val="595959" w:themeColor="text1" w:themeTint="A6"/>
          <w:sz w:val="26"/>
          <w:szCs w:val="27"/>
        </w:rPr>
      </w:pPr>
      <w:r w:rsidRPr="003458D0">
        <w:rPr>
          <w:rFonts w:ascii="Calibri" w:hAnsi="Calibri" w:cs="Arial"/>
          <w:color w:val="595959" w:themeColor="text1" w:themeTint="A6"/>
          <w:sz w:val="26"/>
          <w:szCs w:val="26"/>
        </w:rPr>
        <w:t>En efecto, de las constancias que integran la presente causa administrativa, no se desprende de manera fehaciente que, las enjuiciadas, hayan notificado debidamente al justiciable las órdenes de valuación para llevar a cabo los avalúos de los inmuebles, en razón de lo siguiente:</w:t>
      </w:r>
      <w:r w:rsidRPr="006258A7">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 . . . . . . . . . . . . . . . . . . . . . . . . . </w:t>
      </w:r>
    </w:p>
    <w:p w:rsidR="003540B3" w:rsidRPr="003458D0" w:rsidRDefault="003540B3" w:rsidP="003540B3">
      <w:pPr>
        <w:pStyle w:val="Textoindependiente"/>
        <w:ind w:firstLine="708"/>
        <w:rPr>
          <w:rFonts w:ascii="Calibri" w:hAnsi="Calibri" w:cs="Arial"/>
          <w:color w:val="595959" w:themeColor="text1" w:themeTint="A6"/>
          <w:sz w:val="26"/>
          <w:szCs w:val="26"/>
        </w:rPr>
      </w:pPr>
    </w:p>
    <w:p w:rsidR="003540B3" w:rsidRDefault="003540B3" w:rsidP="003540B3">
      <w:pPr>
        <w:pStyle w:val="Textoindependiente"/>
        <w:ind w:firstLine="708"/>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a).- Respecto del inmueble con cuenta predial 04-S-000130-001 (cero-cuatro S cero-cero-cero-uno-tres-cero cero-cero-uno), al cual, mediante avalúo –identificable con el número 10019565-, de fecha 24 veinticuatro de febrero del año 2010 dos mil diez (visible a foja 53 cincuenta y tres), se le dio un valor de $14’594,333.00 (Catorce millones quinientos noventa y cuatro mil trescientos treinta y tres pesos 00/100 Moneda Nacional), se debe decir que, a lo largo del presente, ninguna de las enjuiciadas exhibió, como medio de prueba, la orden de</w:t>
      </w:r>
    </w:p>
    <w:p w:rsidR="003540B3" w:rsidRDefault="003540B3" w:rsidP="003540B3">
      <w:pPr>
        <w:ind w:firstLine="708"/>
        <w:jc w:val="right"/>
        <w:rPr>
          <w:rFonts w:ascii="Calibri" w:hAnsi="Calibri"/>
          <w:b/>
          <w:color w:val="595959" w:themeColor="text1" w:themeTint="A6"/>
          <w:sz w:val="26"/>
          <w:szCs w:val="27"/>
        </w:rPr>
      </w:pPr>
      <w:r>
        <w:rPr>
          <w:rFonts w:ascii="Calibri" w:hAnsi="Calibri"/>
          <w:b/>
          <w:color w:val="595959" w:themeColor="text1" w:themeTint="A6"/>
          <w:sz w:val="26"/>
          <w:szCs w:val="27"/>
        </w:rPr>
        <w:t>Expediente número 450/2016-JN</w:t>
      </w:r>
    </w:p>
    <w:p w:rsidR="003540B3" w:rsidRDefault="003540B3" w:rsidP="003540B3">
      <w:pPr>
        <w:pStyle w:val="Textoindependiente"/>
        <w:rPr>
          <w:rFonts w:ascii="Calibri" w:hAnsi="Calibri" w:cs="Arial"/>
          <w:color w:val="595959" w:themeColor="text1" w:themeTint="A6"/>
          <w:sz w:val="26"/>
          <w:szCs w:val="26"/>
        </w:rPr>
      </w:pPr>
    </w:p>
    <w:p w:rsidR="003540B3" w:rsidRPr="003458D0" w:rsidRDefault="003540B3" w:rsidP="003540B3">
      <w:pPr>
        <w:pStyle w:val="Textoindependiente"/>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 xml:space="preserve">valuación que debió haberse emitido para la práctica del avalúo, en la que se expresara los motivos que dan origen a la misma y que constara la designación de los peritos a practicar el avalúo; ello no obstante que las autoridades demandadas aleguen que el avalúo se realizó por existir una inconformidad del ciudadano; pues es claro el primer párrafo del artículo 176 de la Ley de Hacienda para los Municipios del Estado de Guanajuato, en el sentido que la práctica de todo avalúo </w:t>
      </w:r>
      <w:r w:rsidRPr="003458D0">
        <w:rPr>
          <w:rFonts w:ascii="Calibri" w:hAnsi="Calibri" w:cs="Arial"/>
          <w:b/>
          <w:color w:val="595959" w:themeColor="text1" w:themeTint="A6"/>
          <w:sz w:val="26"/>
          <w:szCs w:val="26"/>
        </w:rPr>
        <w:t xml:space="preserve">deberá ser ordenada </w:t>
      </w:r>
      <w:r w:rsidRPr="003458D0">
        <w:rPr>
          <w:rFonts w:ascii="Calibri" w:hAnsi="Calibri" w:cs="Arial"/>
          <w:color w:val="595959" w:themeColor="text1" w:themeTint="A6"/>
          <w:sz w:val="26"/>
          <w:szCs w:val="26"/>
        </w:rPr>
        <w:t xml:space="preserve">por la Tesorería Municipal </w:t>
      </w:r>
      <w:r w:rsidRPr="003458D0">
        <w:rPr>
          <w:rFonts w:ascii="Calibri" w:hAnsi="Calibri" w:cs="Arial"/>
          <w:b/>
          <w:color w:val="595959" w:themeColor="text1" w:themeTint="A6"/>
          <w:sz w:val="26"/>
          <w:szCs w:val="26"/>
        </w:rPr>
        <w:t xml:space="preserve">por escrito </w:t>
      </w:r>
      <w:r w:rsidRPr="003458D0">
        <w:rPr>
          <w:rFonts w:ascii="Calibri" w:hAnsi="Calibri" w:cs="Arial"/>
          <w:color w:val="595959" w:themeColor="text1" w:themeTint="A6"/>
          <w:sz w:val="26"/>
          <w:szCs w:val="26"/>
        </w:rPr>
        <w:t xml:space="preserve">y </w:t>
      </w:r>
      <w:r w:rsidRPr="003458D0">
        <w:rPr>
          <w:rFonts w:ascii="Calibri" w:hAnsi="Calibri" w:cs="Arial"/>
          <w:b/>
          <w:color w:val="595959" w:themeColor="text1" w:themeTint="A6"/>
          <w:sz w:val="26"/>
          <w:szCs w:val="26"/>
        </w:rPr>
        <w:t xml:space="preserve">será practicada </w:t>
      </w:r>
      <w:r w:rsidRPr="003458D0">
        <w:rPr>
          <w:rFonts w:ascii="Calibri" w:hAnsi="Calibri" w:cs="Arial"/>
          <w:color w:val="595959" w:themeColor="text1" w:themeTint="A6"/>
          <w:sz w:val="26"/>
          <w:szCs w:val="26"/>
        </w:rPr>
        <w:t xml:space="preserve">por los peritos que </w:t>
      </w:r>
      <w:r w:rsidRPr="003458D0">
        <w:rPr>
          <w:rFonts w:ascii="Calibri" w:hAnsi="Calibri" w:cs="Arial"/>
          <w:color w:val="595959" w:themeColor="text1" w:themeTint="A6"/>
          <w:sz w:val="26"/>
          <w:szCs w:val="26"/>
        </w:rPr>
        <w:lastRenderedPageBreak/>
        <w:t xml:space="preserve">se </w:t>
      </w:r>
      <w:r w:rsidRPr="003458D0">
        <w:rPr>
          <w:rFonts w:ascii="Calibri" w:hAnsi="Calibri" w:cs="Arial"/>
          <w:b/>
          <w:color w:val="595959" w:themeColor="text1" w:themeTint="A6"/>
          <w:sz w:val="26"/>
          <w:szCs w:val="26"/>
        </w:rPr>
        <w:t>designen</w:t>
      </w:r>
      <w:r w:rsidRPr="003458D0">
        <w:rPr>
          <w:rFonts w:ascii="Calibri" w:hAnsi="Calibri" w:cs="Arial"/>
          <w:color w:val="595959" w:themeColor="text1" w:themeTint="A6"/>
          <w:sz w:val="26"/>
          <w:szCs w:val="26"/>
        </w:rPr>
        <w:t xml:space="preserve"> para ese efecto, de lo que se colige que cualquier avalúo, para efectos del Impuesto Predial, sea la razón que fu</w:t>
      </w:r>
      <w:r>
        <w:rPr>
          <w:rFonts w:ascii="Calibri" w:hAnsi="Calibri" w:cs="Arial"/>
          <w:color w:val="595959" w:themeColor="text1" w:themeTint="A6"/>
          <w:sz w:val="26"/>
          <w:szCs w:val="26"/>
        </w:rPr>
        <w:t>era, deberá ser siempre ordenado</w:t>
      </w:r>
      <w:r w:rsidRPr="003458D0">
        <w:rPr>
          <w:rFonts w:ascii="Calibri" w:hAnsi="Calibri" w:cs="Arial"/>
          <w:color w:val="595959" w:themeColor="text1" w:themeTint="A6"/>
          <w:sz w:val="26"/>
          <w:szCs w:val="26"/>
        </w:rPr>
        <w:t xml:space="preserve"> por escrito, consignado el nombre de los peritos que se designen para la práctica del avalúo, sin que en el precepto legal citado, se establezcan excepciones a dicha regla, como lo sería practicar un avalúo por inconformidad de un particular, sin necesidad de emitir una </w:t>
      </w:r>
      <w:proofErr w:type="spellStart"/>
      <w:r w:rsidRPr="003458D0">
        <w:rPr>
          <w:rFonts w:ascii="Calibri" w:hAnsi="Calibri" w:cs="Arial"/>
          <w:color w:val="595959" w:themeColor="text1" w:themeTint="A6"/>
          <w:sz w:val="26"/>
          <w:szCs w:val="26"/>
        </w:rPr>
        <w:t>órden</w:t>
      </w:r>
      <w:proofErr w:type="spellEnd"/>
      <w:r w:rsidRPr="003458D0">
        <w:rPr>
          <w:rFonts w:ascii="Calibri" w:hAnsi="Calibri" w:cs="Arial"/>
          <w:color w:val="595959" w:themeColor="text1" w:themeTint="A6"/>
          <w:sz w:val="26"/>
          <w:szCs w:val="26"/>
        </w:rPr>
        <w:t xml:space="preserve"> ni de designar peritos. . . . . . .</w:t>
      </w:r>
      <w:r w:rsidRPr="006258A7">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 . . . . . . . . . . . . . . . . . . . .</w:t>
      </w:r>
      <w:r w:rsidRPr="006258A7">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 . . . . . . . . . . . . . . . . . . . .</w:t>
      </w:r>
      <w:r w:rsidRPr="006258A7">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 . . . . </w:t>
      </w:r>
    </w:p>
    <w:p w:rsidR="003540B3" w:rsidRPr="003458D0" w:rsidRDefault="003540B3" w:rsidP="003540B3">
      <w:pPr>
        <w:pStyle w:val="Textoindependiente"/>
        <w:ind w:firstLine="708"/>
        <w:rPr>
          <w:rFonts w:ascii="Calibri" w:hAnsi="Calibri" w:cs="Arial"/>
          <w:color w:val="595959" w:themeColor="text1" w:themeTint="A6"/>
          <w:sz w:val="26"/>
          <w:szCs w:val="26"/>
        </w:rPr>
      </w:pPr>
    </w:p>
    <w:p w:rsidR="003540B3" w:rsidRPr="003458D0" w:rsidRDefault="003540B3" w:rsidP="003540B3">
      <w:pPr>
        <w:pStyle w:val="Textoindependiente"/>
        <w:ind w:firstLine="708"/>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b).- Por lo que toca al inmueble con cuenta predial 04-S-000130-002 (cero-cuatro S cero-cero-cero-uno-tres-cero cero-cero-dos), al cual, mediante avalúo –identificable con el folio 412470-, de fecha 2 dos de mayo del año 2013 dos mil trece (visible a foja 62 sesenta y dos), se le dio un valor de $3’190,000.00 (Tres millones ciento noventa mil pesos 00/100 Moneda Nacional), es de señalar</w:t>
      </w:r>
      <w:r>
        <w:rPr>
          <w:rFonts w:ascii="Calibri" w:hAnsi="Calibri" w:cs="Arial"/>
          <w:color w:val="595959" w:themeColor="text1" w:themeTint="A6"/>
          <w:sz w:val="26"/>
          <w:szCs w:val="26"/>
        </w:rPr>
        <w:t>,</w:t>
      </w:r>
      <w:r w:rsidRPr="003458D0">
        <w:rPr>
          <w:rFonts w:ascii="Calibri" w:hAnsi="Calibri" w:cs="Arial"/>
          <w:color w:val="595959" w:themeColor="text1" w:themeTint="A6"/>
          <w:sz w:val="26"/>
          <w:szCs w:val="26"/>
        </w:rPr>
        <w:t xml:space="preserve"> que si bien es cierto que a las enjuiciadas se les admitió como prueba la orden de valuación con folio número 412470-13 cuatrocientos doce mil cuatrocientos setenta </w:t>
      </w:r>
      <w:proofErr w:type="spellStart"/>
      <w:r w:rsidRPr="003458D0">
        <w:rPr>
          <w:rFonts w:ascii="Calibri" w:hAnsi="Calibri" w:cs="Arial"/>
          <w:color w:val="595959" w:themeColor="text1" w:themeTint="A6"/>
          <w:sz w:val="26"/>
          <w:szCs w:val="26"/>
        </w:rPr>
        <w:t>guión</w:t>
      </w:r>
      <w:proofErr w:type="spellEnd"/>
      <w:r w:rsidRPr="003458D0">
        <w:rPr>
          <w:rFonts w:ascii="Calibri" w:hAnsi="Calibri" w:cs="Arial"/>
          <w:color w:val="595959" w:themeColor="text1" w:themeTint="A6"/>
          <w:sz w:val="26"/>
          <w:szCs w:val="26"/>
        </w:rPr>
        <w:t xml:space="preserve"> trece, de fecha 24 veinticuatro de abril del año 2013 dos mil trece, (visible a foja 63 sesenta y tres del expediente); </w:t>
      </w:r>
      <w:r>
        <w:rPr>
          <w:rFonts w:ascii="Calibri" w:hAnsi="Calibri" w:cs="Arial"/>
          <w:color w:val="595959" w:themeColor="text1" w:themeTint="A6"/>
          <w:sz w:val="26"/>
          <w:szCs w:val="26"/>
        </w:rPr>
        <w:t>que</w:t>
      </w:r>
      <w:r w:rsidRPr="003458D0">
        <w:rPr>
          <w:rFonts w:ascii="Calibri" w:hAnsi="Calibri" w:cs="Arial"/>
          <w:color w:val="595959" w:themeColor="text1" w:themeTint="A6"/>
          <w:sz w:val="26"/>
          <w:szCs w:val="26"/>
        </w:rPr>
        <w:t xml:space="preserve"> se ordenó por escrito la realización del avalúo y se designó al ciudadano </w:t>
      </w:r>
      <w:r>
        <w:rPr>
          <w:rFonts w:ascii="Calibri" w:hAnsi="Calibri" w:cs="Arial"/>
          <w:color w:val="595959" w:themeColor="text1" w:themeTint="A6"/>
          <w:sz w:val="26"/>
          <w:szCs w:val="26"/>
        </w:rPr>
        <w:t>*****</w:t>
      </w:r>
      <w:r w:rsidRPr="003458D0">
        <w:rPr>
          <w:rFonts w:ascii="Calibri" w:hAnsi="Calibri" w:cs="Arial"/>
          <w:color w:val="595959" w:themeColor="text1" w:themeTint="A6"/>
          <w:sz w:val="26"/>
          <w:szCs w:val="26"/>
        </w:rPr>
        <w:t xml:space="preserve"> para ello; también lo es</w:t>
      </w:r>
      <w:r>
        <w:rPr>
          <w:rFonts w:ascii="Calibri" w:hAnsi="Calibri" w:cs="Arial"/>
          <w:color w:val="595959" w:themeColor="text1" w:themeTint="A6"/>
          <w:sz w:val="26"/>
          <w:szCs w:val="26"/>
        </w:rPr>
        <w:t>,</w:t>
      </w:r>
      <w:r w:rsidRPr="003458D0">
        <w:rPr>
          <w:rFonts w:ascii="Calibri" w:hAnsi="Calibri" w:cs="Arial"/>
          <w:color w:val="595959" w:themeColor="text1" w:themeTint="A6"/>
          <w:sz w:val="26"/>
          <w:szCs w:val="26"/>
        </w:rPr>
        <w:t xml:space="preserve"> que no se encuentra debidamente expresada la voluntad decisoria del titular de la dependencia (en el caso, el Tesorero Municipal); viciando de ilegal la citada </w:t>
      </w:r>
      <w:proofErr w:type="spellStart"/>
      <w:r w:rsidRPr="003458D0">
        <w:rPr>
          <w:rFonts w:ascii="Calibri" w:hAnsi="Calibri" w:cs="Arial"/>
          <w:color w:val="595959" w:themeColor="text1" w:themeTint="A6"/>
          <w:sz w:val="26"/>
          <w:szCs w:val="26"/>
        </w:rPr>
        <w:t>órden</w:t>
      </w:r>
      <w:proofErr w:type="spellEnd"/>
      <w:r w:rsidRPr="003458D0">
        <w:rPr>
          <w:rFonts w:ascii="Calibri" w:hAnsi="Calibri" w:cs="Arial"/>
          <w:color w:val="595959" w:themeColor="text1" w:themeTint="A6"/>
          <w:sz w:val="26"/>
          <w:szCs w:val="26"/>
        </w:rPr>
        <w:t xml:space="preserve">; pues resulta evidente que los espacios correspondientes a la designación del perito valuador y al número de credencial con que se identifica, inicialmente fueron dejados en blanco y posteriormente llenados manualmente con bolígrafo, lo que </w:t>
      </w:r>
      <w:r w:rsidRPr="003458D0">
        <w:rPr>
          <w:rFonts w:ascii="Calibri" w:hAnsi="Calibri"/>
          <w:color w:val="595959" w:themeColor="text1" w:themeTint="A6"/>
          <w:sz w:val="26"/>
          <w:szCs w:val="26"/>
        </w:rPr>
        <w:t xml:space="preserve">lleva a concluir que </w:t>
      </w:r>
      <w:r w:rsidRPr="003458D0">
        <w:rPr>
          <w:rFonts w:ascii="Calibri" w:hAnsi="Calibri"/>
          <w:b/>
          <w:color w:val="595959" w:themeColor="text1" w:themeTint="A6"/>
          <w:sz w:val="26"/>
          <w:szCs w:val="26"/>
        </w:rPr>
        <w:t>no fue la voluntad</w:t>
      </w:r>
      <w:r w:rsidRPr="003458D0">
        <w:rPr>
          <w:rFonts w:ascii="Calibri" w:hAnsi="Calibri"/>
          <w:color w:val="595959" w:themeColor="text1" w:themeTint="A6"/>
          <w:sz w:val="26"/>
          <w:szCs w:val="26"/>
        </w:rPr>
        <w:t xml:space="preserve"> del Tesorero Municipal, el designar como perito valuador al ciudadano </w:t>
      </w:r>
      <w:r>
        <w:rPr>
          <w:rFonts w:ascii="Calibri" w:hAnsi="Calibri"/>
          <w:color w:val="595959" w:themeColor="text1" w:themeTint="A6"/>
          <w:sz w:val="26"/>
          <w:szCs w:val="26"/>
        </w:rPr>
        <w:t>*****</w:t>
      </w:r>
      <w:r w:rsidRPr="003458D0">
        <w:rPr>
          <w:rFonts w:ascii="Calibri" w:hAnsi="Calibri"/>
          <w:color w:val="595959" w:themeColor="text1" w:themeTint="A6"/>
          <w:sz w:val="26"/>
          <w:szCs w:val="26"/>
        </w:rPr>
        <w:t xml:space="preserve"> </w:t>
      </w:r>
      <w:bookmarkStart w:id="0" w:name="_GoBack"/>
      <w:bookmarkEnd w:id="0"/>
      <w:r w:rsidRPr="003458D0">
        <w:rPr>
          <w:rFonts w:ascii="Calibri" w:hAnsi="Calibri"/>
          <w:color w:val="595959" w:themeColor="text1" w:themeTint="A6"/>
          <w:sz w:val="26"/>
          <w:szCs w:val="26"/>
        </w:rPr>
        <w:t xml:space="preserve"> con credencial número 4194 cuatro mil ciento noventa y cuatro, sino que fue la de otra persona no identificada, que incluso pudo ser el </w:t>
      </w:r>
      <w:r w:rsidRPr="003458D0">
        <w:rPr>
          <w:rFonts w:ascii="Calibri" w:hAnsi="Calibri" w:cs="Arial"/>
          <w:color w:val="595959" w:themeColor="text1" w:themeTint="A6"/>
          <w:sz w:val="26"/>
          <w:szCs w:val="26"/>
        </w:rPr>
        <w:t xml:space="preserve">propio perito valuador, pues resulta </w:t>
      </w:r>
      <w:r w:rsidRPr="003458D0">
        <w:rPr>
          <w:rFonts w:ascii="Calibri" w:hAnsi="Calibri"/>
          <w:color w:val="595959" w:themeColor="text1" w:themeTint="A6"/>
          <w:sz w:val="26"/>
        </w:rPr>
        <w:t>lógico presumir que si la autoridad competente dicta una orden de valuación, todos sus elementos, tanto genéricos como los específicos</w:t>
      </w:r>
      <w:r>
        <w:rPr>
          <w:rFonts w:ascii="Calibri" w:hAnsi="Calibri"/>
          <w:color w:val="595959" w:themeColor="text1" w:themeTint="A6"/>
          <w:sz w:val="26"/>
        </w:rPr>
        <w:t>,</w:t>
      </w:r>
      <w:r w:rsidRPr="003458D0">
        <w:rPr>
          <w:rFonts w:ascii="Calibri" w:hAnsi="Calibri"/>
          <w:color w:val="595959" w:themeColor="text1" w:themeTint="A6"/>
          <w:sz w:val="26"/>
        </w:rPr>
        <w:t xml:space="preserve"> deben estar señalados con el mismo tipo de letra, porque todo debe provenir de la voluntad decisoria de esa autoridad, para ordenar que a cierta persona</w:t>
      </w:r>
      <w:r>
        <w:rPr>
          <w:rFonts w:ascii="Calibri" w:hAnsi="Calibri"/>
          <w:color w:val="595959" w:themeColor="text1" w:themeTint="A6"/>
          <w:sz w:val="26"/>
        </w:rPr>
        <w:t xml:space="preserve"> se</w:t>
      </w:r>
      <w:r w:rsidRPr="003458D0">
        <w:rPr>
          <w:rFonts w:ascii="Calibri" w:hAnsi="Calibri"/>
          <w:color w:val="595959" w:themeColor="text1" w:themeTint="A6"/>
          <w:sz w:val="26"/>
        </w:rPr>
        <w:t xml:space="preserve"> practique el avalúo,</w:t>
      </w:r>
      <w:r>
        <w:rPr>
          <w:rFonts w:ascii="Calibri" w:hAnsi="Calibri"/>
          <w:color w:val="595959" w:themeColor="text1" w:themeTint="A6"/>
          <w:sz w:val="26"/>
        </w:rPr>
        <w:t xml:space="preserve">  </w:t>
      </w:r>
      <w:r w:rsidRPr="003458D0">
        <w:rPr>
          <w:rFonts w:ascii="Calibri" w:hAnsi="Calibri"/>
          <w:color w:val="595959" w:themeColor="text1" w:themeTint="A6"/>
          <w:sz w:val="26"/>
        </w:rPr>
        <w:t xml:space="preserve"> por</w:t>
      </w:r>
      <w:r>
        <w:rPr>
          <w:rFonts w:ascii="Calibri" w:hAnsi="Calibri"/>
          <w:color w:val="595959" w:themeColor="text1" w:themeTint="A6"/>
          <w:sz w:val="26"/>
        </w:rPr>
        <w:t xml:space="preserve"> </w:t>
      </w:r>
      <w:r w:rsidRPr="003458D0">
        <w:rPr>
          <w:rFonts w:ascii="Calibri" w:hAnsi="Calibri"/>
          <w:color w:val="595959" w:themeColor="text1" w:themeTint="A6"/>
          <w:sz w:val="26"/>
        </w:rPr>
        <w:t xml:space="preserve"> lo </w:t>
      </w:r>
      <w:r>
        <w:rPr>
          <w:rFonts w:ascii="Calibri" w:hAnsi="Calibri"/>
          <w:color w:val="595959" w:themeColor="text1" w:themeTint="A6"/>
          <w:sz w:val="26"/>
        </w:rPr>
        <w:t xml:space="preserve">  </w:t>
      </w:r>
      <w:r w:rsidRPr="003458D0">
        <w:rPr>
          <w:rFonts w:ascii="Calibri" w:hAnsi="Calibri"/>
          <w:color w:val="595959" w:themeColor="text1" w:themeTint="A6"/>
          <w:sz w:val="26"/>
        </w:rPr>
        <w:t xml:space="preserve">que </w:t>
      </w:r>
      <w:r>
        <w:rPr>
          <w:rFonts w:ascii="Calibri" w:hAnsi="Calibri"/>
          <w:color w:val="595959" w:themeColor="text1" w:themeTint="A6"/>
          <w:sz w:val="26"/>
        </w:rPr>
        <w:t xml:space="preserve">  </w:t>
      </w:r>
      <w:r w:rsidRPr="003458D0">
        <w:rPr>
          <w:rFonts w:ascii="Calibri" w:hAnsi="Calibri"/>
          <w:color w:val="595959" w:themeColor="text1" w:themeTint="A6"/>
          <w:sz w:val="26"/>
        </w:rPr>
        <w:t>al</w:t>
      </w:r>
      <w:r>
        <w:rPr>
          <w:rFonts w:ascii="Calibri" w:hAnsi="Calibri"/>
          <w:color w:val="595959" w:themeColor="text1" w:themeTint="A6"/>
          <w:sz w:val="26"/>
        </w:rPr>
        <w:t xml:space="preserve">  </w:t>
      </w:r>
      <w:r w:rsidRPr="003458D0">
        <w:rPr>
          <w:rFonts w:ascii="Calibri" w:hAnsi="Calibri"/>
          <w:color w:val="595959" w:themeColor="text1" w:themeTint="A6"/>
          <w:sz w:val="26"/>
        </w:rPr>
        <w:t xml:space="preserve"> no</w:t>
      </w:r>
      <w:r>
        <w:rPr>
          <w:rFonts w:ascii="Calibri" w:hAnsi="Calibri"/>
          <w:color w:val="595959" w:themeColor="text1" w:themeTint="A6"/>
          <w:sz w:val="26"/>
        </w:rPr>
        <w:t xml:space="preserve">  </w:t>
      </w:r>
      <w:r w:rsidRPr="003458D0">
        <w:rPr>
          <w:rFonts w:ascii="Calibri" w:hAnsi="Calibri"/>
          <w:color w:val="595959" w:themeColor="text1" w:themeTint="A6"/>
          <w:sz w:val="26"/>
        </w:rPr>
        <w:t xml:space="preserve"> haberse</w:t>
      </w:r>
      <w:r>
        <w:rPr>
          <w:rFonts w:ascii="Calibri" w:hAnsi="Calibri"/>
          <w:color w:val="595959" w:themeColor="text1" w:themeTint="A6"/>
          <w:sz w:val="26"/>
        </w:rPr>
        <w:t xml:space="preserve"> </w:t>
      </w:r>
      <w:r w:rsidRPr="003458D0">
        <w:rPr>
          <w:rFonts w:ascii="Calibri" w:hAnsi="Calibri"/>
          <w:color w:val="595959" w:themeColor="text1" w:themeTint="A6"/>
          <w:sz w:val="26"/>
        </w:rPr>
        <w:t xml:space="preserve"> hecho así, se traduce en </w:t>
      </w:r>
      <w:r w:rsidRPr="003458D0">
        <w:rPr>
          <w:rFonts w:ascii="Calibri" w:hAnsi="Calibri" w:cs="Arial"/>
          <w:color w:val="595959" w:themeColor="text1" w:themeTint="A6"/>
          <w:sz w:val="26"/>
          <w:szCs w:val="26"/>
        </w:rPr>
        <w:t>que no se</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 da</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 certeza jurídica </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al</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 justiciable</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 sobre </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quien </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debería </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haber </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practicado </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el</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 avalúo. . . . .</w:t>
      </w:r>
      <w:r w:rsidRPr="00505DE9">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 . . . . . . . . . . . . . . . . . . . .</w:t>
      </w:r>
      <w:r w:rsidRPr="00505DE9">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 . . . . . . . . . . . . . . . . . . . . . . . . . . . . . </w:t>
      </w:r>
    </w:p>
    <w:p w:rsidR="003540B3" w:rsidRPr="003458D0" w:rsidRDefault="003540B3" w:rsidP="003540B3">
      <w:pPr>
        <w:pStyle w:val="Textoindependiente"/>
        <w:ind w:firstLine="708"/>
        <w:rPr>
          <w:rFonts w:ascii="Calibri" w:hAnsi="Calibri" w:cs="Arial"/>
          <w:color w:val="595959" w:themeColor="text1" w:themeTint="A6"/>
          <w:sz w:val="26"/>
          <w:szCs w:val="26"/>
        </w:rPr>
      </w:pPr>
    </w:p>
    <w:p w:rsidR="003540B3" w:rsidRDefault="003540B3" w:rsidP="003540B3">
      <w:pPr>
        <w:pStyle w:val="Textoindependiente"/>
        <w:ind w:firstLine="708"/>
        <w:rPr>
          <w:rFonts w:ascii="Calibri" w:hAnsi="Calibri" w:cs="Arial"/>
          <w:color w:val="595959" w:themeColor="text1" w:themeTint="A6"/>
          <w:sz w:val="26"/>
          <w:szCs w:val="27"/>
        </w:rPr>
      </w:pPr>
      <w:r w:rsidRPr="003458D0">
        <w:rPr>
          <w:rFonts w:ascii="Calibri" w:hAnsi="Calibri" w:cs="Arial"/>
          <w:color w:val="595959" w:themeColor="text1" w:themeTint="A6"/>
          <w:sz w:val="26"/>
          <w:szCs w:val="26"/>
        </w:rPr>
        <w:t xml:space="preserve">Así las cosas, en relación a los inmuebles antes mencionados, </w:t>
      </w:r>
      <w:r>
        <w:rPr>
          <w:rFonts w:ascii="Calibri" w:hAnsi="Calibri" w:cs="Arial"/>
          <w:color w:val="595959" w:themeColor="text1" w:themeTint="A6"/>
          <w:sz w:val="26"/>
          <w:szCs w:val="26"/>
        </w:rPr>
        <w:t xml:space="preserve">se </w:t>
      </w:r>
      <w:r w:rsidRPr="003458D0">
        <w:rPr>
          <w:rFonts w:ascii="Calibri" w:hAnsi="Calibri" w:cs="Arial"/>
          <w:color w:val="595959" w:themeColor="text1" w:themeTint="A6"/>
          <w:sz w:val="26"/>
          <w:szCs w:val="26"/>
        </w:rPr>
        <w:t xml:space="preserve">debe indicar que las autoridades enjuiciadas tampoco exhibieron u ofrecieron medio de convicción alguno que demostrara, ante este Órgano Jurisdiccional, que las órdenes de valuación fueron legalmente notificadas al ciudadano </w:t>
      </w:r>
      <w:r>
        <w:rPr>
          <w:rFonts w:ascii="Calibri" w:hAnsi="Calibri" w:cs="Arial"/>
          <w:color w:val="595959" w:themeColor="text1" w:themeTint="A6"/>
          <w:sz w:val="26"/>
          <w:szCs w:val="26"/>
        </w:rPr>
        <w:t>*****</w:t>
      </w:r>
      <w:r w:rsidRPr="003458D0">
        <w:rPr>
          <w:rFonts w:ascii="Calibri" w:hAnsi="Calibri" w:cs="Arial"/>
          <w:color w:val="595959" w:themeColor="text1" w:themeTint="A6"/>
          <w:sz w:val="26"/>
          <w:szCs w:val="26"/>
        </w:rPr>
        <w:t xml:space="preserve">; pues del primer inmueble, se reitera, ni siquiera se puso a la vista, en el presente proceso, orden de valuación alguna y, tocante al segundo, si bien es cierto, se mostró la orden de </w:t>
      </w:r>
      <w:r w:rsidRPr="003458D0">
        <w:rPr>
          <w:rFonts w:ascii="Calibri" w:hAnsi="Calibri" w:cs="Arial"/>
          <w:color w:val="595959" w:themeColor="text1" w:themeTint="A6"/>
          <w:sz w:val="26"/>
          <w:szCs w:val="26"/>
        </w:rPr>
        <w:lastRenderedPageBreak/>
        <w:t>valuación folio 412470-13, cierto es también que no quedó probado que la misma haya sido del conocimiento del mencionado ciudadano, pues en la misma ni en su contenido ni de forma anexa, existe razón alguna de una notificación</w:t>
      </w:r>
      <w:r>
        <w:rPr>
          <w:rFonts w:ascii="Calibri" w:hAnsi="Calibri" w:cs="Arial"/>
          <w:color w:val="595959" w:themeColor="text1" w:themeTint="A6"/>
          <w:sz w:val="26"/>
          <w:szCs w:val="26"/>
        </w:rPr>
        <w:t>,</w:t>
      </w:r>
      <w:r w:rsidRPr="003458D0">
        <w:rPr>
          <w:rFonts w:ascii="Calibri" w:hAnsi="Calibri" w:cs="Arial"/>
          <w:color w:val="595959" w:themeColor="text1" w:themeTint="A6"/>
          <w:sz w:val="26"/>
          <w:szCs w:val="26"/>
        </w:rPr>
        <w:t xml:space="preserve"> o la </w:t>
      </w:r>
      <w:proofErr w:type="spellStart"/>
      <w:r w:rsidRPr="003458D0">
        <w:rPr>
          <w:rFonts w:ascii="Calibri" w:hAnsi="Calibri" w:cs="Arial"/>
          <w:color w:val="595959" w:themeColor="text1" w:themeTint="A6"/>
          <w:sz w:val="26"/>
          <w:szCs w:val="26"/>
        </w:rPr>
        <w:t>circunstanciación</w:t>
      </w:r>
      <w:proofErr w:type="spellEnd"/>
      <w:r w:rsidRPr="003458D0">
        <w:rPr>
          <w:rFonts w:ascii="Calibri" w:hAnsi="Calibri" w:cs="Arial"/>
          <w:color w:val="595959" w:themeColor="text1" w:themeTint="A6"/>
          <w:sz w:val="26"/>
          <w:szCs w:val="26"/>
        </w:rPr>
        <w:t xml:space="preserve"> de los pormenores de la diligencia de notificación</w:t>
      </w:r>
      <w:r>
        <w:rPr>
          <w:rFonts w:ascii="Calibri" w:hAnsi="Calibri" w:cs="Arial"/>
          <w:color w:val="595959" w:themeColor="text1" w:themeTint="A6"/>
          <w:sz w:val="26"/>
          <w:szCs w:val="26"/>
        </w:rPr>
        <w:t>,</w:t>
      </w:r>
      <w:r w:rsidRPr="003458D0">
        <w:rPr>
          <w:rFonts w:ascii="Calibri" w:hAnsi="Calibri" w:cs="Arial"/>
          <w:color w:val="595959" w:themeColor="text1" w:themeTint="A6"/>
          <w:sz w:val="26"/>
          <w:szCs w:val="26"/>
        </w:rPr>
        <w:t xml:space="preserve"> que conlleve a la plena convicción de que</w:t>
      </w:r>
      <w:r>
        <w:rPr>
          <w:rFonts w:ascii="Calibri" w:hAnsi="Calibri" w:cs="Arial"/>
          <w:color w:val="595959" w:themeColor="text1" w:themeTint="A6"/>
          <w:sz w:val="26"/>
          <w:szCs w:val="26"/>
        </w:rPr>
        <w:t>,</w:t>
      </w:r>
      <w:r w:rsidRPr="003458D0">
        <w:rPr>
          <w:rFonts w:ascii="Calibri" w:hAnsi="Calibri" w:cs="Arial"/>
          <w:color w:val="595959" w:themeColor="text1" w:themeTint="A6"/>
          <w:sz w:val="26"/>
          <w:szCs w:val="26"/>
        </w:rPr>
        <w:t xml:space="preserve"> ésta efectivamente se dio a conocer al particular. . . . </w:t>
      </w:r>
      <w:r>
        <w:rPr>
          <w:rFonts w:ascii="Calibri" w:hAnsi="Calibri" w:cs="Arial"/>
          <w:color w:val="595959" w:themeColor="text1" w:themeTint="A6"/>
          <w:sz w:val="26"/>
          <w:szCs w:val="27"/>
        </w:rPr>
        <w:t>. . . . . . . . . . . . . . . . . . . . . .</w:t>
      </w:r>
      <w:r w:rsidRPr="00505DE9">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w:t>
      </w:r>
    </w:p>
    <w:p w:rsidR="003540B3" w:rsidRPr="003458D0" w:rsidRDefault="003540B3" w:rsidP="003540B3">
      <w:pPr>
        <w:pStyle w:val="Textoindependiente"/>
        <w:ind w:firstLine="708"/>
        <w:rPr>
          <w:rFonts w:ascii="Calibri" w:hAnsi="Calibri" w:cs="Arial"/>
          <w:color w:val="595959" w:themeColor="text1" w:themeTint="A6"/>
          <w:sz w:val="26"/>
          <w:szCs w:val="26"/>
        </w:rPr>
      </w:pPr>
    </w:p>
    <w:p w:rsidR="003540B3" w:rsidRPr="003458D0" w:rsidRDefault="003540B3" w:rsidP="003540B3">
      <w:pPr>
        <w:pStyle w:val="Textoindependiente"/>
        <w:ind w:firstLine="708"/>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Por otro lado, siguiendo un criterio de la Tercera Sala del Tribunal de lo Contencioso Administrativo en el Estado (hoy Tribunal de Justicia Administrativa del Estado), las autoridades tampoco exhibieron el acta en la que constara la diligencia de  avalúo, a efecto de probar que efectivamente se llevó a cabo la misma, pues no existe constancia que el perito se haya identificado y presentado la orden al justiciable y que para determinar el valor de los inmuebles</w:t>
      </w:r>
      <w:r>
        <w:rPr>
          <w:rFonts w:ascii="Calibri" w:hAnsi="Calibri" w:cs="Arial"/>
          <w:color w:val="595959" w:themeColor="text1" w:themeTint="A6"/>
          <w:sz w:val="26"/>
          <w:szCs w:val="26"/>
        </w:rPr>
        <w:t>,</w:t>
      </w:r>
      <w:r w:rsidRPr="003458D0">
        <w:rPr>
          <w:rFonts w:ascii="Calibri" w:hAnsi="Calibri" w:cs="Arial"/>
          <w:color w:val="595959" w:themeColor="text1" w:themeTint="A6"/>
          <w:sz w:val="26"/>
          <w:szCs w:val="26"/>
        </w:rPr>
        <w:t xml:space="preserve"> se hayan  aplicado los valores unitarios del suelo y construcciones que establecía la Ley de Ingresos para los Municipios del Estado vigente en la fecha de la práctica de los avalúos. . . . .</w:t>
      </w:r>
      <w:r w:rsidRPr="00505DE9">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 . . . . . . . . . . . . . . . . . . . .</w:t>
      </w:r>
      <w:r w:rsidRPr="00505DE9">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 . . . . . . . . . . . . . . . . . . . .</w:t>
      </w:r>
      <w:r w:rsidRPr="00505DE9">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 . . . . . . </w:t>
      </w:r>
    </w:p>
    <w:p w:rsidR="003540B3" w:rsidRPr="003458D0" w:rsidRDefault="003540B3" w:rsidP="003540B3">
      <w:pPr>
        <w:pStyle w:val="Textoindependiente"/>
        <w:ind w:firstLine="708"/>
        <w:rPr>
          <w:rFonts w:ascii="Calibri" w:hAnsi="Calibri" w:cs="Arial"/>
          <w:color w:val="595959" w:themeColor="text1" w:themeTint="A6"/>
          <w:sz w:val="26"/>
          <w:szCs w:val="26"/>
        </w:rPr>
      </w:pPr>
    </w:p>
    <w:p w:rsidR="003540B3" w:rsidRPr="003458D0" w:rsidRDefault="003540B3" w:rsidP="003540B3">
      <w:pPr>
        <w:pStyle w:val="Textoindependiente"/>
        <w:ind w:firstLine="708"/>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 xml:space="preserve">Al efecto se transcribe el citado criterio, visible en la dirección electrónica </w:t>
      </w:r>
      <w:hyperlink r:id="rId4" w:history="1">
        <w:r w:rsidRPr="003458D0">
          <w:rPr>
            <w:rStyle w:val="Hipervnculo"/>
            <w:rFonts w:ascii="Calibri" w:hAnsi="Calibri" w:cs="Arial"/>
            <w:color w:val="595959" w:themeColor="text1" w:themeTint="A6"/>
            <w:sz w:val="26"/>
            <w:szCs w:val="26"/>
          </w:rPr>
          <w:t>http://criterios.tcagto.gob.mx/2000-2010/criterios-2000-2010</w:t>
        </w:r>
      </w:hyperlink>
      <w:r w:rsidRPr="003458D0">
        <w:rPr>
          <w:rFonts w:ascii="Calibri" w:hAnsi="Calibri" w:cs="Arial"/>
          <w:color w:val="595959" w:themeColor="text1" w:themeTint="A6"/>
          <w:sz w:val="26"/>
          <w:szCs w:val="26"/>
        </w:rPr>
        <w:t xml:space="preserve">:. . . . . . . . . . . . . . . . </w:t>
      </w:r>
    </w:p>
    <w:p w:rsidR="003540B3" w:rsidRPr="003458D0" w:rsidRDefault="003540B3" w:rsidP="003540B3">
      <w:pPr>
        <w:pStyle w:val="Textoindependiente"/>
        <w:ind w:firstLine="708"/>
        <w:rPr>
          <w:rFonts w:ascii="Calibri" w:hAnsi="Calibri" w:cs="Arial"/>
          <w:color w:val="595959" w:themeColor="text1" w:themeTint="A6"/>
          <w:sz w:val="26"/>
          <w:szCs w:val="26"/>
        </w:rPr>
      </w:pPr>
    </w:p>
    <w:p w:rsidR="003540B3" w:rsidRPr="003458D0" w:rsidRDefault="003540B3" w:rsidP="003540B3">
      <w:pPr>
        <w:pStyle w:val="Textoindependiente"/>
        <w:ind w:firstLine="708"/>
        <w:rPr>
          <w:rFonts w:ascii="Calibri" w:hAnsi="Calibri" w:cs="Arial"/>
          <w:color w:val="595959" w:themeColor="text1" w:themeTint="A6"/>
          <w:sz w:val="22"/>
          <w:szCs w:val="22"/>
        </w:rPr>
      </w:pPr>
      <w:r w:rsidRPr="003458D0">
        <w:rPr>
          <w:rFonts w:ascii="Calibri" w:hAnsi="Calibri" w:cs="Arial"/>
          <w:b/>
          <w:i/>
          <w:color w:val="595959" w:themeColor="text1" w:themeTint="A6"/>
          <w:sz w:val="22"/>
          <w:szCs w:val="22"/>
        </w:rPr>
        <w:t>“DILIGENCIA DE AVALÚO DE INMUEBLES</w:t>
      </w:r>
      <w:r w:rsidRPr="003458D0">
        <w:rPr>
          <w:rFonts w:ascii="Calibri" w:hAnsi="Calibri" w:cs="Arial"/>
          <w:i/>
          <w:color w:val="595959" w:themeColor="text1" w:themeTint="A6"/>
          <w:sz w:val="22"/>
          <w:szCs w:val="22"/>
        </w:rPr>
        <w:t>. DEBE CONSTAR EN ACTA SEPARADA DE LA ORDEN DEL MISMO.- Aunque efectivamente puede observarse una orden de avalúo que está firmada de recibido y un plano que presuntamente corresponde al del inmueble del actor, tales documentos no pueden probar que efectivamente se llevó a cabo dicha diligencia, toda vez que no consta que se haya realizado ningún otro acto, a saber: identificación de los peritos, exhibición de la orden respectiva a los ocupantes del inmueble, valuación separada para el terreno y para las construcciones, aplicando los valores unitarios del suelo y construcciones que establece anualmente la Ley de Ingresos para los Municipios del Estado, según lo disponen los artículos 176 y 177 de la Ley de Hacienda para los Municipios del Estado, siendo insuficiente la existencia de un plano y el dicho de los testigos para que se compruebe la existencia de una diligencia de avalúo, misma que debe constar en un acta separada en la que se plasmen los anteriores datos, firmando los que han participado en ella, para crear una constancia legal de la misma, por lo que es procedente decretar la nulidad del acto impugnado. (</w:t>
      </w:r>
      <w:proofErr w:type="spellStart"/>
      <w:r w:rsidRPr="003458D0">
        <w:rPr>
          <w:rFonts w:ascii="Calibri" w:hAnsi="Calibri" w:cs="Arial"/>
          <w:i/>
          <w:color w:val="595959" w:themeColor="text1" w:themeTint="A6"/>
          <w:sz w:val="22"/>
          <w:szCs w:val="22"/>
        </w:rPr>
        <w:t>Exp</w:t>
      </w:r>
      <w:proofErr w:type="spellEnd"/>
      <w:r w:rsidRPr="003458D0">
        <w:rPr>
          <w:rFonts w:ascii="Calibri" w:hAnsi="Calibri" w:cs="Arial"/>
          <w:i/>
          <w:color w:val="595959" w:themeColor="text1" w:themeTint="A6"/>
          <w:sz w:val="22"/>
          <w:szCs w:val="22"/>
        </w:rPr>
        <w:t>. 4.99/02. Sentencia de fecha 13 de mayo de 2002. Actor: José Jesús Juárez Gasca.)</w:t>
      </w:r>
      <w:r w:rsidRPr="003458D0">
        <w:rPr>
          <w:rFonts w:ascii="Calibri" w:hAnsi="Calibri" w:cs="Arial"/>
          <w:b/>
          <w:i/>
          <w:color w:val="595959" w:themeColor="text1" w:themeTint="A6"/>
          <w:sz w:val="22"/>
          <w:szCs w:val="22"/>
        </w:rPr>
        <w:t>”</w:t>
      </w:r>
      <w:r w:rsidRPr="00010D11">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 . . . . . . . . . . . . . . . . . . . .</w:t>
      </w:r>
      <w:r w:rsidRPr="00010D11">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 . . . . . . . . . </w:t>
      </w:r>
    </w:p>
    <w:p w:rsidR="003540B3" w:rsidRPr="003458D0" w:rsidRDefault="003540B3" w:rsidP="003540B3">
      <w:pPr>
        <w:pStyle w:val="Textoindependiente"/>
        <w:rPr>
          <w:rFonts w:ascii="Calibri" w:hAnsi="Calibri" w:cs="Arial"/>
          <w:color w:val="595959" w:themeColor="text1" w:themeTint="A6"/>
          <w:sz w:val="26"/>
          <w:szCs w:val="26"/>
          <w:highlight w:val="yellow"/>
        </w:rPr>
      </w:pPr>
      <w:r w:rsidRPr="003458D0">
        <w:rPr>
          <w:rFonts w:ascii="Calibri" w:hAnsi="Calibri" w:cs="Arial"/>
          <w:color w:val="595959" w:themeColor="text1" w:themeTint="A6"/>
          <w:sz w:val="26"/>
          <w:szCs w:val="26"/>
        </w:rPr>
        <w:t xml:space="preserve"> </w:t>
      </w:r>
    </w:p>
    <w:p w:rsidR="003540B3" w:rsidRPr="003458D0" w:rsidRDefault="003540B3" w:rsidP="003540B3">
      <w:pPr>
        <w:pStyle w:val="Textoindependiente"/>
        <w:ind w:firstLine="708"/>
        <w:rPr>
          <w:rFonts w:ascii="Calibri" w:hAnsi="Calibri"/>
          <w:color w:val="595959" w:themeColor="text1" w:themeTint="A6"/>
          <w:sz w:val="26"/>
          <w:szCs w:val="27"/>
        </w:rPr>
      </w:pPr>
      <w:r w:rsidRPr="003458D0">
        <w:rPr>
          <w:rFonts w:ascii="Calibri" w:hAnsi="Calibri" w:cs="Arial"/>
          <w:color w:val="595959" w:themeColor="text1" w:themeTint="A6"/>
          <w:sz w:val="26"/>
          <w:szCs w:val="26"/>
        </w:rPr>
        <w:t>Del mismo modo, en cuanto a la notificación de los resultados del avalúo y de la determinación del impuesto –obligación que impone a las autoridades el segundo párrafo del artículo 176 de la Ley de Hacienda para los Municipios del Estado de Guanajuato</w:t>
      </w:r>
      <w:r>
        <w:rPr>
          <w:rFonts w:ascii="Calibri" w:hAnsi="Calibri" w:cs="Arial"/>
          <w:color w:val="595959" w:themeColor="text1" w:themeTint="A6"/>
          <w:sz w:val="26"/>
          <w:szCs w:val="26"/>
        </w:rPr>
        <w:t>-</w:t>
      </w:r>
      <w:r w:rsidRPr="003458D0">
        <w:rPr>
          <w:rFonts w:ascii="Calibri" w:hAnsi="Calibri" w:cs="Arial"/>
          <w:color w:val="595959" w:themeColor="text1" w:themeTint="A6"/>
          <w:sz w:val="26"/>
          <w:szCs w:val="26"/>
        </w:rPr>
        <w:t>, tampoco las enjuiciadas demostraron, incuestionablemente, que cumplieron con la obligación señalada;</w:t>
      </w:r>
      <w:r w:rsidRPr="003458D0">
        <w:rPr>
          <w:rFonts w:ascii="Calibri" w:hAnsi="Calibri"/>
          <w:color w:val="595959" w:themeColor="text1" w:themeTint="A6"/>
          <w:sz w:val="26"/>
          <w:szCs w:val="27"/>
        </w:rPr>
        <w:t xml:space="preserve"> de ahí que no quede probado, en esta causa administrativa, que el</w:t>
      </w:r>
      <w:r w:rsidRPr="003458D0">
        <w:rPr>
          <w:rFonts w:ascii="Calibri" w:hAnsi="Calibri" w:cs="Arial"/>
          <w:color w:val="595959" w:themeColor="text1" w:themeTint="A6"/>
          <w:sz w:val="26"/>
          <w:szCs w:val="26"/>
        </w:rPr>
        <w:t xml:space="preserve"> ciudadano </w:t>
      </w:r>
      <w:r>
        <w:rPr>
          <w:rFonts w:ascii="Calibri" w:hAnsi="Calibri" w:cs="Arial"/>
          <w:color w:val="595959" w:themeColor="text1" w:themeTint="A6"/>
          <w:sz w:val="26"/>
          <w:szCs w:val="26"/>
        </w:rPr>
        <w:t>*****</w:t>
      </w:r>
      <w:r w:rsidRPr="003458D0">
        <w:rPr>
          <w:rFonts w:ascii="Calibri" w:hAnsi="Calibri"/>
          <w:color w:val="595959" w:themeColor="text1" w:themeTint="A6"/>
          <w:sz w:val="26"/>
          <w:szCs w:val="27"/>
        </w:rPr>
        <w:t xml:space="preserve"> haya tenido el debido conocimiento del </w:t>
      </w:r>
      <w:r w:rsidRPr="003458D0">
        <w:rPr>
          <w:rFonts w:ascii="Calibri" w:hAnsi="Calibri"/>
          <w:color w:val="595959" w:themeColor="text1" w:themeTint="A6"/>
          <w:sz w:val="26"/>
          <w:szCs w:val="27"/>
        </w:rPr>
        <w:lastRenderedPageBreak/>
        <w:t>resultado de los avalúos impugnados</w:t>
      </w:r>
      <w:r>
        <w:rPr>
          <w:rFonts w:ascii="Calibri" w:hAnsi="Calibri"/>
          <w:color w:val="595959" w:themeColor="text1" w:themeTint="A6"/>
          <w:sz w:val="26"/>
          <w:szCs w:val="27"/>
        </w:rPr>
        <w:t>.</w:t>
      </w:r>
      <w:r w:rsidRPr="003458D0">
        <w:rPr>
          <w:rFonts w:ascii="Calibri" w:hAnsi="Calibri"/>
          <w:color w:val="595959" w:themeColor="text1" w:themeTint="A6"/>
          <w:sz w:val="26"/>
          <w:szCs w:val="27"/>
        </w:rPr>
        <w:t xml:space="preserve"> </w:t>
      </w:r>
      <w:r w:rsidRPr="003458D0">
        <w:rPr>
          <w:rFonts w:ascii="Calibri" w:hAnsi="Calibri" w:cs="Arial"/>
          <w:color w:val="595959" w:themeColor="text1" w:themeTint="A6"/>
          <w:sz w:val="26"/>
          <w:szCs w:val="26"/>
        </w:rPr>
        <w:t xml:space="preserve">. . . . . . . . . . . . . . . . . . . . . . . . . . . . . . . . . . . . . . . . . . . . . . . . . . . . . . . . . . </w:t>
      </w:r>
    </w:p>
    <w:p w:rsidR="003540B3" w:rsidRPr="003458D0" w:rsidRDefault="003540B3" w:rsidP="003540B3">
      <w:pPr>
        <w:pStyle w:val="Textoindependiente"/>
        <w:rPr>
          <w:rFonts w:ascii="Calibri" w:hAnsi="Calibri" w:cs="Arial"/>
          <w:color w:val="595959" w:themeColor="text1" w:themeTint="A6"/>
          <w:sz w:val="26"/>
          <w:szCs w:val="26"/>
        </w:rPr>
      </w:pPr>
    </w:p>
    <w:p w:rsidR="003540B3" w:rsidRDefault="003540B3" w:rsidP="003540B3">
      <w:pPr>
        <w:pStyle w:val="Textoindependiente"/>
        <w:ind w:firstLine="708"/>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En conclusión, es importante, enfatizar que las demandadas no acreditaron de</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 modo </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fehaciente </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que,</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 para </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determinar </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el</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 valor</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 fiscal </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de</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 </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los </w:t>
      </w:r>
      <w:r>
        <w:rPr>
          <w:rFonts w:ascii="Calibri" w:hAnsi="Calibri" w:cs="Arial"/>
          <w:color w:val="595959" w:themeColor="text1" w:themeTint="A6"/>
          <w:sz w:val="26"/>
          <w:szCs w:val="26"/>
        </w:rPr>
        <w:t xml:space="preserve"> </w:t>
      </w:r>
      <w:r w:rsidRPr="003458D0">
        <w:rPr>
          <w:rFonts w:ascii="Calibri" w:hAnsi="Calibri" w:cs="Arial"/>
          <w:color w:val="595959" w:themeColor="text1" w:themeTint="A6"/>
          <w:sz w:val="26"/>
          <w:szCs w:val="26"/>
        </w:rPr>
        <w:t xml:space="preserve">inmuebles </w:t>
      </w:r>
    </w:p>
    <w:p w:rsidR="003540B3" w:rsidRDefault="003540B3" w:rsidP="003540B3">
      <w:pPr>
        <w:ind w:firstLine="708"/>
        <w:jc w:val="right"/>
        <w:rPr>
          <w:rFonts w:ascii="Calibri" w:hAnsi="Calibri"/>
          <w:b/>
          <w:color w:val="595959" w:themeColor="text1" w:themeTint="A6"/>
          <w:sz w:val="26"/>
          <w:szCs w:val="27"/>
        </w:rPr>
      </w:pPr>
      <w:r>
        <w:rPr>
          <w:rFonts w:ascii="Calibri" w:hAnsi="Calibri"/>
          <w:b/>
          <w:color w:val="595959" w:themeColor="text1" w:themeTint="A6"/>
          <w:sz w:val="26"/>
          <w:szCs w:val="27"/>
        </w:rPr>
        <w:t>Expediente número 450/2016-JN</w:t>
      </w:r>
    </w:p>
    <w:p w:rsidR="003540B3" w:rsidRDefault="003540B3" w:rsidP="003540B3">
      <w:pPr>
        <w:pStyle w:val="Textoindependiente"/>
        <w:rPr>
          <w:rFonts w:ascii="Calibri" w:hAnsi="Calibri" w:cs="Arial"/>
          <w:color w:val="595959" w:themeColor="text1" w:themeTint="A6"/>
          <w:sz w:val="26"/>
          <w:szCs w:val="26"/>
        </w:rPr>
      </w:pPr>
    </w:p>
    <w:p w:rsidR="003540B3" w:rsidRPr="003458D0" w:rsidRDefault="003540B3" w:rsidP="003540B3">
      <w:pPr>
        <w:pStyle w:val="Textoindependiente"/>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propiedad del impugnador, en los procedimientos de avalúo realizados se haya dado cumplimiento a lo que establecen los</w:t>
      </w:r>
      <w:r w:rsidRPr="003458D0">
        <w:rPr>
          <w:rFonts w:ascii="Calibri" w:hAnsi="Calibri"/>
          <w:color w:val="595959" w:themeColor="text1" w:themeTint="A6"/>
          <w:sz w:val="26"/>
          <w:szCs w:val="26"/>
        </w:rPr>
        <w:t xml:space="preserve"> </w:t>
      </w:r>
      <w:r w:rsidRPr="003458D0">
        <w:rPr>
          <w:rFonts w:ascii="Calibri" w:hAnsi="Calibri" w:cs="Arial"/>
          <w:color w:val="595959" w:themeColor="text1" w:themeTint="A6"/>
          <w:sz w:val="26"/>
          <w:szCs w:val="26"/>
        </w:rPr>
        <w:t xml:space="preserve">primeros párrafos de los artículos 176 y 177 de la Ley de Hacienda para los Municipios de Guanajuato; que establecen: . </w:t>
      </w:r>
    </w:p>
    <w:p w:rsidR="003540B3" w:rsidRPr="003458D0" w:rsidRDefault="003540B3" w:rsidP="003540B3">
      <w:pPr>
        <w:pStyle w:val="Textoindependiente"/>
        <w:ind w:firstLine="708"/>
        <w:rPr>
          <w:rFonts w:ascii="Calibri" w:hAnsi="Calibri" w:cs="Arial"/>
          <w:color w:val="595959" w:themeColor="text1" w:themeTint="A6"/>
          <w:sz w:val="26"/>
          <w:szCs w:val="26"/>
        </w:rPr>
      </w:pPr>
    </w:p>
    <w:p w:rsidR="003540B3" w:rsidRPr="003458D0" w:rsidRDefault="003540B3" w:rsidP="003540B3">
      <w:pPr>
        <w:pStyle w:val="Textoindependiente"/>
        <w:ind w:firstLine="708"/>
        <w:rPr>
          <w:rFonts w:ascii="Calibri" w:hAnsi="Calibri" w:cs="Arial"/>
          <w:i/>
          <w:color w:val="595959" w:themeColor="text1" w:themeTint="A6"/>
          <w:sz w:val="26"/>
          <w:szCs w:val="26"/>
        </w:rPr>
      </w:pPr>
      <w:r w:rsidRPr="003458D0">
        <w:rPr>
          <w:rFonts w:ascii="Calibri" w:hAnsi="Calibri" w:cs="Arial"/>
          <w:i/>
          <w:color w:val="595959" w:themeColor="text1" w:themeTint="A6"/>
          <w:sz w:val="26"/>
          <w:szCs w:val="26"/>
        </w:rPr>
        <w:t xml:space="preserve">“Artículo 176.- La práctica de todo avalúo deberá ser ordenada por la Tesorería Municipal por escrito en los casos que esta ley establece y será practicada por los peritos que se designen para este efecto…” . . . . . . . . . . . . . . . . . </w:t>
      </w:r>
      <w:r>
        <w:rPr>
          <w:rFonts w:ascii="Calibri" w:hAnsi="Calibri" w:cs="Arial"/>
          <w:color w:val="595959" w:themeColor="text1" w:themeTint="A6"/>
          <w:sz w:val="26"/>
          <w:szCs w:val="27"/>
        </w:rPr>
        <w:t xml:space="preserve">. . . . . . . . . . </w:t>
      </w:r>
    </w:p>
    <w:p w:rsidR="003540B3" w:rsidRPr="003458D0" w:rsidRDefault="003540B3" w:rsidP="003540B3">
      <w:pPr>
        <w:pStyle w:val="Textoindependiente"/>
        <w:ind w:firstLine="708"/>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 xml:space="preserve"> </w:t>
      </w:r>
    </w:p>
    <w:p w:rsidR="003540B3" w:rsidRPr="003458D0" w:rsidRDefault="003540B3" w:rsidP="003540B3">
      <w:pPr>
        <w:ind w:firstLine="708"/>
        <w:jc w:val="both"/>
        <w:rPr>
          <w:rFonts w:asciiTheme="minorHAnsi" w:hAnsiTheme="minorHAnsi" w:cs="Arial"/>
          <w:i/>
          <w:color w:val="595959" w:themeColor="text1" w:themeTint="A6"/>
          <w:sz w:val="26"/>
          <w:szCs w:val="26"/>
          <w:lang w:eastAsia="en-US"/>
        </w:rPr>
      </w:pPr>
      <w:r w:rsidRPr="003458D0">
        <w:rPr>
          <w:rFonts w:asciiTheme="minorHAnsi" w:hAnsiTheme="minorHAnsi" w:cs="Arial"/>
          <w:b/>
          <w:bCs/>
          <w:i/>
          <w:color w:val="595959" w:themeColor="text1" w:themeTint="A6"/>
          <w:sz w:val="26"/>
          <w:szCs w:val="26"/>
        </w:rPr>
        <w:t>“</w:t>
      </w:r>
      <w:r w:rsidRPr="003458D0">
        <w:rPr>
          <w:rFonts w:asciiTheme="minorHAnsi" w:hAnsiTheme="minorHAnsi" w:cs="Arial"/>
          <w:bCs/>
          <w:i/>
          <w:color w:val="595959" w:themeColor="text1" w:themeTint="A6"/>
          <w:sz w:val="26"/>
          <w:szCs w:val="26"/>
        </w:rPr>
        <w:t>Artículo 177.-</w:t>
      </w:r>
      <w:r w:rsidRPr="003458D0">
        <w:rPr>
          <w:rFonts w:asciiTheme="minorHAnsi" w:hAnsiTheme="minorHAnsi" w:cs="Arial"/>
          <w:b/>
          <w:bCs/>
          <w:i/>
          <w:color w:val="595959" w:themeColor="text1" w:themeTint="A6"/>
          <w:sz w:val="26"/>
          <w:szCs w:val="26"/>
        </w:rPr>
        <w:t xml:space="preserve"> </w:t>
      </w:r>
      <w:r w:rsidRPr="003458D0">
        <w:rPr>
          <w:rFonts w:asciiTheme="minorHAnsi" w:hAnsiTheme="minorHAnsi" w:cs="Arial"/>
          <w:i/>
          <w:color w:val="595959" w:themeColor="text1" w:themeTint="A6"/>
          <w:sz w:val="26"/>
          <w:szCs w:val="26"/>
        </w:rPr>
        <w:t xml:space="preserve">En la práctica de los avalúos a que se refiere la fracción II del </w:t>
      </w:r>
      <w:r w:rsidRPr="003458D0">
        <w:rPr>
          <w:rFonts w:asciiTheme="minorHAnsi" w:hAnsiTheme="minorHAnsi" w:cs="Arial"/>
          <w:bCs/>
          <w:i/>
          <w:color w:val="595959" w:themeColor="text1" w:themeTint="A6"/>
          <w:sz w:val="26"/>
          <w:szCs w:val="26"/>
        </w:rPr>
        <w:t>artículo</w:t>
      </w:r>
      <w:r w:rsidRPr="003458D0">
        <w:rPr>
          <w:rFonts w:asciiTheme="minorHAnsi" w:hAnsiTheme="minorHAnsi" w:cs="Arial"/>
          <w:i/>
          <w:color w:val="595959" w:themeColor="text1" w:themeTint="A6"/>
          <w:sz w:val="26"/>
          <w:szCs w:val="26"/>
        </w:rPr>
        <w:t xml:space="preserve"> 162 de esta Ley, los  peritos deberán presentarse en hora y día hábiles y se identificarán con la documentación correspondiente, en el inmueble que deba ser objeto de la valuación y mostrarán a los ocupantes la orden respectiva. .</w:t>
      </w:r>
      <w:r w:rsidRPr="00DB718C">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 </w:t>
      </w:r>
    </w:p>
    <w:p w:rsidR="003540B3" w:rsidRPr="003458D0" w:rsidRDefault="003540B3" w:rsidP="003540B3">
      <w:pPr>
        <w:jc w:val="both"/>
        <w:rPr>
          <w:rFonts w:asciiTheme="minorHAnsi" w:hAnsiTheme="minorHAnsi" w:cs="Arial"/>
          <w:i/>
          <w:color w:val="595959" w:themeColor="text1" w:themeTint="A6"/>
          <w:sz w:val="26"/>
          <w:szCs w:val="26"/>
        </w:rPr>
      </w:pPr>
    </w:p>
    <w:p w:rsidR="003540B3" w:rsidRPr="003458D0" w:rsidRDefault="003540B3" w:rsidP="003540B3">
      <w:pPr>
        <w:ind w:firstLine="708"/>
        <w:jc w:val="both"/>
        <w:rPr>
          <w:rFonts w:asciiTheme="minorHAnsi" w:hAnsiTheme="minorHAnsi" w:cs="Arial"/>
          <w:i/>
          <w:color w:val="595959" w:themeColor="text1" w:themeTint="A6"/>
          <w:sz w:val="26"/>
          <w:szCs w:val="26"/>
        </w:rPr>
      </w:pPr>
      <w:r w:rsidRPr="003458D0">
        <w:rPr>
          <w:rFonts w:asciiTheme="minorHAnsi" w:hAnsiTheme="minorHAnsi" w:cs="Arial"/>
          <w:i/>
          <w:color w:val="595959" w:themeColor="text1" w:themeTint="A6"/>
          <w:sz w:val="26"/>
          <w:szCs w:val="26"/>
        </w:rPr>
        <w:t xml:space="preserve">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 . . . . . . . </w:t>
      </w:r>
      <w:r>
        <w:rPr>
          <w:rFonts w:ascii="Calibri" w:hAnsi="Calibri" w:cs="Arial"/>
          <w:color w:val="595959" w:themeColor="text1" w:themeTint="A6"/>
          <w:sz w:val="26"/>
          <w:szCs w:val="27"/>
        </w:rPr>
        <w:t xml:space="preserve">. . . . . . . . . . . . . . . . . </w:t>
      </w:r>
    </w:p>
    <w:p w:rsidR="003540B3" w:rsidRPr="003458D0" w:rsidRDefault="003540B3" w:rsidP="003540B3">
      <w:pPr>
        <w:jc w:val="both"/>
        <w:rPr>
          <w:rFonts w:asciiTheme="minorHAnsi" w:hAnsiTheme="minorHAnsi" w:cs="Arial"/>
          <w:i/>
          <w:color w:val="595959" w:themeColor="text1" w:themeTint="A6"/>
          <w:sz w:val="26"/>
          <w:szCs w:val="26"/>
        </w:rPr>
      </w:pPr>
    </w:p>
    <w:p w:rsidR="003540B3" w:rsidRPr="003458D0" w:rsidRDefault="003540B3" w:rsidP="003540B3">
      <w:pPr>
        <w:ind w:firstLine="708"/>
        <w:jc w:val="both"/>
        <w:rPr>
          <w:rFonts w:asciiTheme="minorHAnsi" w:hAnsiTheme="minorHAnsi" w:cs="Arial"/>
          <w:i/>
          <w:color w:val="595959" w:themeColor="text1" w:themeTint="A6"/>
          <w:sz w:val="26"/>
          <w:szCs w:val="26"/>
        </w:rPr>
      </w:pPr>
      <w:r w:rsidRPr="003458D0">
        <w:rPr>
          <w:rFonts w:asciiTheme="minorHAnsi" w:hAnsiTheme="minorHAnsi" w:cs="Arial"/>
          <w:i/>
          <w:color w:val="595959" w:themeColor="text1" w:themeTint="A6"/>
          <w:sz w:val="26"/>
          <w:szCs w:val="26"/>
        </w:rPr>
        <w:t>En estos casos la valuación se hará con base en los elementos de que se disponga.</w:t>
      </w:r>
      <w:r>
        <w:rPr>
          <w:rFonts w:asciiTheme="minorHAnsi" w:hAnsiTheme="minorHAnsi" w:cs="Arial"/>
          <w:i/>
          <w:color w:val="595959" w:themeColor="text1" w:themeTint="A6"/>
          <w:sz w:val="26"/>
          <w:szCs w:val="26"/>
        </w:rPr>
        <w:t>”</w:t>
      </w:r>
      <w:r w:rsidRPr="003458D0">
        <w:rPr>
          <w:rFonts w:asciiTheme="minorHAnsi" w:hAnsiTheme="minorHAnsi" w:cs="Arial"/>
          <w:i/>
          <w:color w:val="595959" w:themeColor="text1" w:themeTint="A6"/>
          <w:sz w:val="26"/>
          <w:szCs w:val="26"/>
        </w:rPr>
        <w:t xml:space="preserve">. . . . . . . . . . . . . . . . . . . . . . . . . . . . . . . . . . . . . . . . . . . . . . . . . . . . . . . . . . . . </w:t>
      </w:r>
    </w:p>
    <w:p w:rsidR="003540B3" w:rsidRPr="003458D0" w:rsidRDefault="003540B3" w:rsidP="003540B3">
      <w:pPr>
        <w:pStyle w:val="Textoindependiente"/>
        <w:rPr>
          <w:rFonts w:ascii="Calibri" w:hAnsi="Calibri" w:cs="Arial"/>
          <w:color w:val="595959" w:themeColor="text1" w:themeTint="A6"/>
          <w:sz w:val="26"/>
          <w:szCs w:val="26"/>
        </w:rPr>
      </w:pPr>
    </w:p>
    <w:p w:rsidR="003540B3" w:rsidRPr="003458D0" w:rsidRDefault="003540B3" w:rsidP="003540B3">
      <w:pPr>
        <w:ind w:firstLine="708"/>
        <w:jc w:val="both"/>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Dispositivos legales de los que se desprende que, todo avalúo debe ser ordenado, por escrito, por la Tesorería; que la orden de valuación debe contener el nombre de los peritos designados para practicar el avalúo; que la citada orden, debe darse a conocer a efecto de que se realice la inspección del inmueble a valuar y pueda hacerse el avalúo, reiterando, que la diligencia de avalúo, de</w:t>
      </w:r>
      <w:r>
        <w:rPr>
          <w:rFonts w:ascii="Calibri" w:hAnsi="Calibri" w:cs="Arial"/>
          <w:color w:val="595959" w:themeColor="text1" w:themeTint="A6"/>
          <w:sz w:val="26"/>
          <w:szCs w:val="26"/>
        </w:rPr>
        <w:t>be</w:t>
      </w:r>
      <w:r w:rsidRPr="003458D0">
        <w:rPr>
          <w:rFonts w:ascii="Calibri" w:hAnsi="Calibri" w:cs="Arial"/>
          <w:color w:val="595959" w:themeColor="text1" w:themeTint="A6"/>
          <w:sz w:val="26"/>
          <w:szCs w:val="26"/>
        </w:rPr>
        <w:t xml:space="preserve"> constar en acta por separado de la orden de valuación; que los peritos se hayan presentado en día y hora hábil y que se hayan identificado; que los resultados del avalúo y la determinación del impuesto predial se deben notificar al justiciable; aspectos que, en la especie, no se cumplieron, tal y como ha quedado determinado a lo largo de este considerando. . . . . . . . . . . . . . . . . . . . . . . . . . . . . . . </w:t>
      </w:r>
      <w:r>
        <w:rPr>
          <w:rFonts w:ascii="Calibri" w:hAnsi="Calibri" w:cs="Arial"/>
          <w:color w:val="595959" w:themeColor="text1" w:themeTint="A6"/>
          <w:sz w:val="26"/>
          <w:szCs w:val="27"/>
        </w:rPr>
        <w:t>. . . . . . . . . . . . . . . . . . . . . .</w:t>
      </w:r>
      <w:r w:rsidRPr="00DB718C">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w:t>
      </w:r>
    </w:p>
    <w:p w:rsidR="003540B3" w:rsidRPr="003458D0" w:rsidRDefault="003540B3" w:rsidP="003540B3">
      <w:pPr>
        <w:jc w:val="both"/>
        <w:rPr>
          <w:rFonts w:ascii="Calibri" w:hAnsi="Calibri"/>
          <w:color w:val="595959" w:themeColor="text1" w:themeTint="A6"/>
          <w:sz w:val="26"/>
          <w:szCs w:val="27"/>
          <w:lang w:val="es-MX"/>
        </w:rPr>
      </w:pPr>
    </w:p>
    <w:p w:rsidR="003540B3" w:rsidRPr="003458D0" w:rsidRDefault="003540B3" w:rsidP="003540B3">
      <w:pPr>
        <w:ind w:firstLine="708"/>
        <w:jc w:val="both"/>
        <w:rPr>
          <w:rFonts w:ascii="Calibri" w:hAnsi="Calibri"/>
          <w:color w:val="595959" w:themeColor="text1" w:themeTint="A6"/>
          <w:sz w:val="26"/>
          <w:szCs w:val="27"/>
        </w:rPr>
      </w:pPr>
      <w:r w:rsidRPr="003458D0">
        <w:rPr>
          <w:rFonts w:ascii="Calibri" w:hAnsi="Calibri"/>
          <w:color w:val="595959" w:themeColor="text1" w:themeTint="A6"/>
          <w:sz w:val="26"/>
          <w:szCs w:val="27"/>
        </w:rPr>
        <w:lastRenderedPageBreak/>
        <w:t>Así pues, al no dar cumplimiento a lo que establecen los ya señalados artículos 176 y 177 de la Ley de Hacienda; e</w:t>
      </w:r>
      <w:r w:rsidRPr="003458D0">
        <w:rPr>
          <w:rFonts w:ascii="Calibri" w:hAnsi="Calibri" w:cs="Arial"/>
          <w:color w:val="595959" w:themeColor="text1" w:themeTint="A6"/>
          <w:sz w:val="26"/>
          <w:szCs w:val="26"/>
        </w:rPr>
        <w:t>s por lo que se considera fu</w:t>
      </w:r>
      <w:r w:rsidRPr="003458D0">
        <w:rPr>
          <w:rFonts w:ascii="Calibri" w:hAnsi="Calibri" w:cs="Arial"/>
          <w:bCs/>
          <w:color w:val="595959" w:themeColor="text1" w:themeTint="A6"/>
          <w:sz w:val="26"/>
          <w:szCs w:val="26"/>
        </w:rPr>
        <w:t xml:space="preserve">ndado </w:t>
      </w:r>
      <w:r w:rsidRPr="003458D0">
        <w:rPr>
          <w:rFonts w:ascii="Calibri" w:hAnsi="Calibri" w:cs="Arial"/>
          <w:color w:val="595959" w:themeColor="text1" w:themeTint="A6"/>
          <w:sz w:val="26"/>
          <w:szCs w:val="26"/>
        </w:rPr>
        <w:t xml:space="preserve">lo argumentado por la parte actora en los conceptos de impugnación en examen; pues está demostrado que para la realización de los actos administrativos impugnados, se violó en perjuicio del ciudadano </w:t>
      </w:r>
      <w:r>
        <w:rPr>
          <w:rFonts w:ascii="Calibri" w:hAnsi="Calibri" w:cs="Arial"/>
          <w:color w:val="595959" w:themeColor="text1" w:themeTint="A6"/>
          <w:sz w:val="26"/>
          <w:szCs w:val="26"/>
        </w:rPr>
        <w:t>*****</w:t>
      </w:r>
      <w:r w:rsidRPr="003458D0">
        <w:rPr>
          <w:rFonts w:ascii="Calibri" w:hAnsi="Calibri" w:cs="Arial"/>
          <w:color w:val="595959" w:themeColor="text1" w:themeTint="A6"/>
          <w:sz w:val="26"/>
          <w:szCs w:val="26"/>
        </w:rPr>
        <w:t xml:space="preserve">, el contenido de los artículos 79, 81, 176 y 177 de la Ley de Hacienda para los Municipios del Estado de Guanajuato. </w:t>
      </w:r>
      <w:r>
        <w:rPr>
          <w:rFonts w:ascii="Calibri" w:hAnsi="Calibri" w:cs="Arial"/>
          <w:color w:val="595959" w:themeColor="text1" w:themeTint="A6"/>
          <w:sz w:val="26"/>
          <w:szCs w:val="27"/>
        </w:rPr>
        <w:t>. . . . . . . . . . . . . . . . . . . . . .</w:t>
      </w:r>
      <w:r w:rsidRPr="00505DE9">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 . . . . . . . </w:t>
      </w:r>
    </w:p>
    <w:p w:rsidR="003540B3" w:rsidRPr="003458D0" w:rsidRDefault="003540B3" w:rsidP="003540B3">
      <w:pPr>
        <w:pStyle w:val="Textoindependiente"/>
        <w:rPr>
          <w:rFonts w:ascii="Calibri" w:hAnsi="Calibri" w:cs="Arial"/>
          <w:i/>
          <w:iCs/>
          <w:color w:val="595959" w:themeColor="text1" w:themeTint="A6"/>
          <w:sz w:val="22"/>
          <w:szCs w:val="26"/>
        </w:rPr>
      </w:pPr>
    </w:p>
    <w:p w:rsidR="003540B3" w:rsidRPr="003458D0" w:rsidRDefault="003540B3" w:rsidP="003540B3">
      <w:pPr>
        <w:ind w:firstLine="708"/>
        <w:jc w:val="both"/>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 xml:space="preserve">Así las cosas, al resultar </w:t>
      </w:r>
      <w:r w:rsidRPr="003458D0">
        <w:rPr>
          <w:rFonts w:ascii="Calibri" w:hAnsi="Calibri" w:cs="Arial"/>
          <w:b/>
          <w:bCs/>
          <w:color w:val="595959" w:themeColor="text1" w:themeTint="A6"/>
          <w:sz w:val="26"/>
          <w:szCs w:val="26"/>
        </w:rPr>
        <w:t>fundados</w:t>
      </w:r>
      <w:r w:rsidRPr="003458D0">
        <w:rPr>
          <w:rFonts w:ascii="Calibri" w:hAnsi="Calibri" w:cs="Arial"/>
          <w:color w:val="595959" w:themeColor="text1" w:themeTint="A6"/>
          <w:sz w:val="26"/>
          <w:szCs w:val="26"/>
        </w:rPr>
        <w:t xml:space="preserve"> el segundo y sexto de los conceptos de impugnación; con fundamento en las fracciones II y III del artículo 302 del Código de Procedimiento y Justicia Administrativa para el Estado y los Municipios de Guanajuato, y en los términos de la fracción II del artículo 300 del citado Código, se declara la </w:t>
      </w:r>
      <w:r w:rsidRPr="003458D0">
        <w:rPr>
          <w:rFonts w:ascii="Calibri" w:hAnsi="Calibri" w:cs="Arial"/>
          <w:b/>
          <w:color w:val="595959" w:themeColor="text1" w:themeTint="A6"/>
          <w:sz w:val="26"/>
          <w:szCs w:val="26"/>
        </w:rPr>
        <w:t xml:space="preserve">nulidad total </w:t>
      </w:r>
      <w:r w:rsidRPr="003458D0">
        <w:rPr>
          <w:rFonts w:ascii="Calibri" w:hAnsi="Calibri" w:cs="Arial"/>
          <w:color w:val="595959" w:themeColor="text1" w:themeTint="A6"/>
          <w:sz w:val="26"/>
          <w:szCs w:val="26"/>
        </w:rPr>
        <w:t xml:space="preserve">de: . . . </w:t>
      </w:r>
      <w:r>
        <w:rPr>
          <w:rFonts w:ascii="Calibri" w:hAnsi="Calibri" w:cs="Arial"/>
          <w:color w:val="595959" w:themeColor="text1" w:themeTint="A6"/>
          <w:sz w:val="26"/>
          <w:szCs w:val="27"/>
        </w:rPr>
        <w:t>. . . . . . . . . . . . . . . . . . . . . .</w:t>
      </w:r>
      <w:r w:rsidRPr="00505DE9">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 . . . . . . . . . . </w:t>
      </w:r>
    </w:p>
    <w:p w:rsidR="003540B3" w:rsidRPr="003458D0" w:rsidRDefault="003540B3" w:rsidP="003540B3">
      <w:pPr>
        <w:ind w:firstLine="708"/>
        <w:jc w:val="both"/>
        <w:rPr>
          <w:rFonts w:ascii="Calibri" w:hAnsi="Calibri" w:cs="Arial"/>
          <w:color w:val="595959" w:themeColor="text1" w:themeTint="A6"/>
          <w:sz w:val="26"/>
          <w:szCs w:val="26"/>
        </w:rPr>
      </w:pPr>
    </w:p>
    <w:p w:rsidR="003540B3" w:rsidRPr="003458D0" w:rsidRDefault="003540B3" w:rsidP="003540B3">
      <w:pPr>
        <w:ind w:firstLine="708"/>
        <w:jc w:val="both"/>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 xml:space="preserve">a).- El </w:t>
      </w:r>
      <w:r w:rsidRPr="003458D0">
        <w:rPr>
          <w:rFonts w:ascii="Calibri" w:hAnsi="Calibri" w:cs="Arial"/>
          <w:b/>
          <w:color w:val="595959" w:themeColor="text1" w:themeTint="A6"/>
          <w:sz w:val="26"/>
          <w:szCs w:val="26"/>
        </w:rPr>
        <w:t>avalúo</w:t>
      </w:r>
      <w:r w:rsidRPr="003458D0">
        <w:rPr>
          <w:rFonts w:ascii="Calibri" w:hAnsi="Calibri" w:cs="Arial"/>
          <w:color w:val="595959" w:themeColor="text1" w:themeTint="A6"/>
          <w:sz w:val="26"/>
          <w:szCs w:val="26"/>
        </w:rPr>
        <w:t xml:space="preserve"> identificado con el número </w:t>
      </w:r>
      <w:r w:rsidRPr="003458D0">
        <w:rPr>
          <w:rFonts w:ascii="Calibri" w:hAnsi="Calibri" w:cs="Arial"/>
          <w:b/>
          <w:color w:val="595959" w:themeColor="text1" w:themeTint="A6"/>
          <w:sz w:val="26"/>
          <w:szCs w:val="26"/>
        </w:rPr>
        <w:t>1001956</w:t>
      </w:r>
      <w:r w:rsidRPr="00DB718C">
        <w:rPr>
          <w:rFonts w:ascii="Calibri" w:hAnsi="Calibri" w:cs="Arial"/>
          <w:b/>
          <w:color w:val="595959" w:themeColor="text1" w:themeTint="A6"/>
          <w:sz w:val="26"/>
          <w:szCs w:val="26"/>
        </w:rPr>
        <w:t>5</w:t>
      </w:r>
      <w:r w:rsidRPr="003458D0">
        <w:rPr>
          <w:rFonts w:ascii="Calibri" w:hAnsi="Calibri" w:cs="Arial"/>
          <w:color w:val="595959" w:themeColor="text1" w:themeTint="A6"/>
          <w:sz w:val="26"/>
          <w:szCs w:val="26"/>
        </w:rPr>
        <w:t xml:space="preserve"> (uno-cero-cero-uno-nueve-cinco-seis-cinco), de fecha </w:t>
      </w:r>
      <w:r w:rsidRPr="003458D0">
        <w:rPr>
          <w:rFonts w:ascii="Calibri" w:hAnsi="Calibri" w:cs="Arial"/>
          <w:b/>
          <w:color w:val="595959" w:themeColor="text1" w:themeTint="A6"/>
          <w:sz w:val="26"/>
          <w:szCs w:val="26"/>
        </w:rPr>
        <w:t>24</w:t>
      </w:r>
      <w:r w:rsidRPr="003458D0">
        <w:rPr>
          <w:rFonts w:ascii="Calibri" w:hAnsi="Calibri" w:cs="Arial"/>
          <w:color w:val="595959" w:themeColor="text1" w:themeTint="A6"/>
          <w:sz w:val="26"/>
          <w:szCs w:val="26"/>
        </w:rPr>
        <w:t xml:space="preserve"> veinticuatro de </w:t>
      </w:r>
      <w:r w:rsidRPr="003458D0">
        <w:rPr>
          <w:rFonts w:ascii="Calibri" w:hAnsi="Calibri" w:cs="Arial"/>
          <w:b/>
          <w:color w:val="595959" w:themeColor="text1" w:themeTint="A6"/>
          <w:sz w:val="26"/>
          <w:szCs w:val="26"/>
        </w:rPr>
        <w:t>febrero</w:t>
      </w:r>
      <w:r w:rsidRPr="003458D0">
        <w:rPr>
          <w:rFonts w:ascii="Calibri" w:hAnsi="Calibri" w:cs="Arial"/>
          <w:color w:val="595959" w:themeColor="text1" w:themeTint="A6"/>
          <w:sz w:val="26"/>
          <w:szCs w:val="26"/>
        </w:rPr>
        <w:t xml:space="preserve"> de </w:t>
      </w:r>
      <w:r w:rsidRPr="003458D0">
        <w:rPr>
          <w:rFonts w:ascii="Calibri" w:hAnsi="Calibri" w:cs="Arial"/>
          <w:b/>
          <w:color w:val="595959" w:themeColor="text1" w:themeTint="A6"/>
          <w:sz w:val="26"/>
          <w:szCs w:val="26"/>
        </w:rPr>
        <w:t>2010</w:t>
      </w:r>
      <w:r w:rsidRPr="003458D0">
        <w:rPr>
          <w:rFonts w:ascii="Calibri" w:hAnsi="Calibri" w:cs="Arial"/>
          <w:color w:val="595959" w:themeColor="text1" w:themeTint="A6"/>
          <w:sz w:val="26"/>
          <w:szCs w:val="26"/>
        </w:rPr>
        <w:t xml:space="preserve"> dos mil diez, mediante el cual se asignó al inmueble con cuenta 04-S-000130-001 (cero-cuatro-guion S guion cero-cero-cero-uno-tres-cero guion cero-cero-uno), el valor de </w:t>
      </w:r>
      <w:r w:rsidRPr="003458D0">
        <w:rPr>
          <w:rFonts w:ascii="Calibri" w:hAnsi="Calibri" w:cs="Arial"/>
          <w:b/>
          <w:color w:val="595959" w:themeColor="text1" w:themeTint="A6"/>
          <w:sz w:val="26"/>
          <w:szCs w:val="26"/>
        </w:rPr>
        <w:t>$14’594,333.00 (Catorce millones quinientos noventa y cuatro mil trescientos treinta y tres pesos 00/100 Moneda Nacional)</w:t>
      </w:r>
      <w:r w:rsidRPr="003458D0">
        <w:rPr>
          <w:rFonts w:ascii="Calibri" w:hAnsi="Calibri" w:cs="Arial"/>
          <w:color w:val="595959" w:themeColor="text1" w:themeTint="A6"/>
          <w:sz w:val="26"/>
          <w:szCs w:val="26"/>
        </w:rPr>
        <w:t xml:space="preserve">; así como la del </w:t>
      </w:r>
      <w:r w:rsidRPr="003458D0">
        <w:rPr>
          <w:rFonts w:ascii="Calibri" w:hAnsi="Calibri" w:cs="Arial"/>
          <w:b/>
          <w:color w:val="595959" w:themeColor="text1" w:themeTint="A6"/>
          <w:sz w:val="26"/>
          <w:szCs w:val="26"/>
        </w:rPr>
        <w:t>valor</w:t>
      </w:r>
      <w:r w:rsidRPr="003458D0">
        <w:rPr>
          <w:rFonts w:ascii="Calibri" w:hAnsi="Calibri" w:cs="Arial"/>
          <w:color w:val="595959" w:themeColor="text1" w:themeTint="A6"/>
          <w:sz w:val="26"/>
          <w:szCs w:val="26"/>
        </w:rPr>
        <w:t xml:space="preserve"> antes citado y de </w:t>
      </w:r>
      <w:r w:rsidRPr="003458D0">
        <w:rPr>
          <w:rFonts w:ascii="Calibri" w:hAnsi="Calibri" w:cs="Arial"/>
          <w:b/>
          <w:color w:val="595959" w:themeColor="text1" w:themeTint="A6"/>
          <w:sz w:val="26"/>
          <w:szCs w:val="26"/>
        </w:rPr>
        <w:t xml:space="preserve">cualquier </w:t>
      </w:r>
      <w:r w:rsidRPr="003458D0">
        <w:rPr>
          <w:rFonts w:ascii="Calibri" w:hAnsi="Calibri" w:cs="Arial"/>
          <w:color w:val="595959" w:themeColor="text1" w:themeTint="A6"/>
          <w:sz w:val="26"/>
          <w:szCs w:val="26"/>
        </w:rPr>
        <w:t xml:space="preserve">otro </w:t>
      </w:r>
      <w:r w:rsidRPr="003458D0">
        <w:rPr>
          <w:rFonts w:ascii="Calibri" w:hAnsi="Calibri" w:cs="Arial"/>
          <w:b/>
          <w:color w:val="595959" w:themeColor="text1" w:themeTint="A6"/>
          <w:sz w:val="26"/>
          <w:szCs w:val="26"/>
        </w:rPr>
        <w:t>acto administrativo</w:t>
      </w:r>
      <w:r w:rsidRPr="003458D0">
        <w:rPr>
          <w:rFonts w:ascii="Calibri" w:hAnsi="Calibri" w:cs="Arial"/>
          <w:color w:val="595959" w:themeColor="text1" w:themeTint="A6"/>
          <w:sz w:val="26"/>
          <w:szCs w:val="26"/>
        </w:rPr>
        <w:t xml:space="preserve"> que tenga su sustento o sea consecuencia del avalúo y valor antes señalados (emitidos de manera ilegal), como lo sería, entre otros, la determinación del impuesto predial, el requerimiento de pago de ese impuesto y el mandamiento de embargo por dicho concepto, </w:t>
      </w:r>
      <w:r w:rsidRPr="003458D0">
        <w:rPr>
          <w:rFonts w:ascii="Calibri" w:hAnsi="Calibri"/>
          <w:bCs/>
          <w:color w:val="595959" w:themeColor="text1" w:themeTint="A6"/>
          <w:sz w:val="26"/>
          <w:szCs w:val="27"/>
        </w:rPr>
        <w:t>atendiendo al principio de que lo accesorio sigue la suerte de lo principal</w:t>
      </w:r>
      <w:r w:rsidRPr="003458D0">
        <w:rPr>
          <w:rFonts w:ascii="Calibri" w:hAnsi="Calibri" w:cs="Arial"/>
          <w:color w:val="595959" w:themeColor="text1" w:themeTint="A6"/>
          <w:sz w:val="26"/>
          <w:szCs w:val="26"/>
        </w:rPr>
        <w:t>. . . . . . . . . .</w:t>
      </w:r>
      <w:r w:rsidRPr="00505DE9">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 . . </w:t>
      </w:r>
    </w:p>
    <w:p w:rsidR="003540B3" w:rsidRPr="003458D0" w:rsidRDefault="003540B3" w:rsidP="003540B3">
      <w:pPr>
        <w:ind w:firstLine="708"/>
        <w:jc w:val="both"/>
        <w:rPr>
          <w:rFonts w:ascii="Calibri" w:hAnsi="Calibri" w:cs="Arial"/>
          <w:color w:val="595959" w:themeColor="text1" w:themeTint="A6"/>
          <w:sz w:val="26"/>
          <w:szCs w:val="26"/>
        </w:rPr>
      </w:pPr>
    </w:p>
    <w:p w:rsidR="003540B3" w:rsidRPr="003458D0" w:rsidRDefault="003540B3" w:rsidP="003540B3">
      <w:pPr>
        <w:ind w:firstLine="708"/>
        <w:jc w:val="both"/>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 xml:space="preserve">b).- La </w:t>
      </w:r>
      <w:r w:rsidRPr="003458D0">
        <w:rPr>
          <w:rFonts w:ascii="Calibri" w:hAnsi="Calibri" w:cs="Arial"/>
          <w:b/>
          <w:color w:val="595959" w:themeColor="text1" w:themeTint="A6"/>
          <w:sz w:val="26"/>
          <w:szCs w:val="26"/>
        </w:rPr>
        <w:t xml:space="preserve">orden de valuación </w:t>
      </w:r>
      <w:r w:rsidRPr="003458D0">
        <w:rPr>
          <w:rFonts w:ascii="Calibri" w:hAnsi="Calibri" w:cs="Arial"/>
          <w:color w:val="595959" w:themeColor="text1" w:themeTint="A6"/>
          <w:sz w:val="26"/>
          <w:szCs w:val="26"/>
        </w:rPr>
        <w:t xml:space="preserve">folio </w:t>
      </w:r>
      <w:r w:rsidRPr="003458D0">
        <w:rPr>
          <w:rFonts w:ascii="Calibri" w:hAnsi="Calibri" w:cs="Arial"/>
          <w:b/>
          <w:color w:val="595959" w:themeColor="text1" w:themeTint="A6"/>
          <w:sz w:val="26"/>
          <w:szCs w:val="26"/>
        </w:rPr>
        <w:t>412470-13</w:t>
      </w:r>
      <w:r w:rsidRPr="003458D0">
        <w:rPr>
          <w:rFonts w:ascii="Calibri" w:hAnsi="Calibri" w:cs="Arial"/>
          <w:color w:val="595959" w:themeColor="text1" w:themeTint="A6"/>
          <w:sz w:val="26"/>
          <w:szCs w:val="26"/>
        </w:rPr>
        <w:t xml:space="preserve"> (cuatro-uno-dos-cuatro-siete-cero), de fecha </w:t>
      </w:r>
      <w:r w:rsidRPr="003458D0">
        <w:rPr>
          <w:rFonts w:ascii="Calibri" w:hAnsi="Calibri" w:cs="Arial"/>
          <w:b/>
          <w:color w:val="595959" w:themeColor="text1" w:themeTint="A6"/>
          <w:sz w:val="26"/>
          <w:szCs w:val="26"/>
        </w:rPr>
        <w:t>24</w:t>
      </w:r>
      <w:r w:rsidRPr="003458D0">
        <w:rPr>
          <w:rFonts w:ascii="Calibri" w:hAnsi="Calibri" w:cs="Arial"/>
          <w:color w:val="595959" w:themeColor="text1" w:themeTint="A6"/>
          <w:sz w:val="26"/>
          <w:szCs w:val="26"/>
        </w:rPr>
        <w:t xml:space="preserve"> veinticuatro de </w:t>
      </w:r>
      <w:r w:rsidRPr="003458D0">
        <w:rPr>
          <w:rFonts w:ascii="Calibri" w:hAnsi="Calibri" w:cs="Arial"/>
          <w:b/>
          <w:color w:val="595959" w:themeColor="text1" w:themeTint="A6"/>
          <w:sz w:val="26"/>
          <w:szCs w:val="26"/>
        </w:rPr>
        <w:t>abril</w:t>
      </w:r>
      <w:r w:rsidRPr="003458D0">
        <w:rPr>
          <w:rFonts w:ascii="Calibri" w:hAnsi="Calibri" w:cs="Arial"/>
          <w:color w:val="595959" w:themeColor="text1" w:themeTint="A6"/>
          <w:sz w:val="26"/>
          <w:szCs w:val="26"/>
        </w:rPr>
        <w:t xml:space="preserve"> del </w:t>
      </w:r>
      <w:r w:rsidRPr="003458D0">
        <w:rPr>
          <w:rFonts w:ascii="Calibri" w:hAnsi="Calibri" w:cs="Arial"/>
          <w:b/>
          <w:color w:val="595959" w:themeColor="text1" w:themeTint="A6"/>
          <w:sz w:val="26"/>
          <w:szCs w:val="26"/>
        </w:rPr>
        <w:t>2013</w:t>
      </w:r>
      <w:r w:rsidRPr="003458D0">
        <w:rPr>
          <w:rFonts w:ascii="Calibri" w:hAnsi="Calibri" w:cs="Arial"/>
          <w:color w:val="595959" w:themeColor="text1" w:themeTint="A6"/>
          <w:sz w:val="26"/>
          <w:szCs w:val="26"/>
        </w:rPr>
        <w:t xml:space="preserve"> dos mil trece; el avalúo identificado con el folio 412479 (cuatrocientos doce mil cuatrocientos setenta y nueve), de fecha </w:t>
      </w:r>
      <w:r w:rsidRPr="003458D0">
        <w:rPr>
          <w:rFonts w:ascii="Calibri" w:hAnsi="Calibri" w:cs="Arial"/>
          <w:b/>
          <w:color w:val="595959" w:themeColor="text1" w:themeTint="A6"/>
          <w:sz w:val="26"/>
          <w:szCs w:val="26"/>
        </w:rPr>
        <w:t>2</w:t>
      </w:r>
      <w:r w:rsidRPr="003458D0">
        <w:rPr>
          <w:rFonts w:ascii="Calibri" w:hAnsi="Calibri" w:cs="Arial"/>
          <w:color w:val="595959" w:themeColor="text1" w:themeTint="A6"/>
          <w:sz w:val="26"/>
          <w:szCs w:val="26"/>
        </w:rPr>
        <w:t xml:space="preserve"> dos de </w:t>
      </w:r>
      <w:r w:rsidRPr="003458D0">
        <w:rPr>
          <w:rFonts w:ascii="Calibri" w:hAnsi="Calibri" w:cs="Arial"/>
          <w:b/>
          <w:color w:val="595959" w:themeColor="text1" w:themeTint="A6"/>
          <w:sz w:val="26"/>
          <w:szCs w:val="26"/>
        </w:rPr>
        <w:t xml:space="preserve">mayo </w:t>
      </w:r>
      <w:r w:rsidRPr="003458D0">
        <w:rPr>
          <w:rFonts w:ascii="Calibri" w:hAnsi="Calibri" w:cs="Arial"/>
          <w:color w:val="595959" w:themeColor="text1" w:themeTint="A6"/>
          <w:sz w:val="26"/>
          <w:szCs w:val="26"/>
        </w:rPr>
        <w:t xml:space="preserve">del </w:t>
      </w:r>
      <w:r w:rsidRPr="003458D0">
        <w:rPr>
          <w:rFonts w:ascii="Calibri" w:hAnsi="Calibri" w:cs="Arial"/>
          <w:b/>
          <w:color w:val="595959" w:themeColor="text1" w:themeTint="A6"/>
          <w:sz w:val="26"/>
          <w:szCs w:val="26"/>
        </w:rPr>
        <w:t>2013</w:t>
      </w:r>
      <w:r w:rsidRPr="003458D0">
        <w:rPr>
          <w:rFonts w:ascii="Calibri" w:hAnsi="Calibri" w:cs="Arial"/>
          <w:color w:val="595959" w:themeColor="text1" w:themeTint="A6"/>
          <w:sz w:val="26"/>
          <w:szCs w:val="26"/>
        </w:rPr>
        <w:t xml:space="preserve"> dos mil trece, mediante el cual se asignó al inmueble con cuenta 04-S-000130-002 (cero-cuatro-guion S guion cero-cero-cero-uno-tres-cero guion cero-cero-dos), el valor de </w:t>
      </w:r>
      <w:r w:rsidRPr="003458D0">
        <w:rPr>
          <w:rFonts w:ascii="Calibri" w:hAnsi="Calibri" w:cs="Arial"/>
          <w:b/>
          <w:color w:val="595959" w:themeColor="text1" w:themeTint="A6"/>
          <w:sz w:val="26"/>
          <w:szCs w:val="26"/>
        </w:rPr>
        <w:t>$3’190,000.00 (Tres millones ciento noventa mil pesos 00/100 Moneda Nacional)</w:t>
      </w:r>
      <w:r w:rsidRPr="003458D0">
        <w:rPr>
          <w:rFonts w:ascii="Calibri" w:hAnsi="Calibri" w:cs="Arial"/>
          <w:color w:val="595959" w:themeColor="text1" w:themeTint="A6"/>
          <w:sz w:val="26"/>
          <w:szCs w:val="26"/>
        </w:rPr>
        <w:t xml:space="preserve">; así como la del </w:t>
      </w:r>
      <w:r w:rsidRPr="003458D0">
        <w:rPr>
          <w:rFonts w:ascii="Calibri" w:hAnsi="Calibri" w:cs="Arial"/>
          <w:b/>
          <w:color w:val="595959" w:themeColor="text1" w:themeTint="A6"/>
          <w:sz w:val="26"/>
          <w:szCs w:val="26"/>
        </w:rPr>
        <w:t>valor</w:t>
      </w:r>
      <w:r w:rsidRPr="003458D0">
        <w:rPr>
          <w:rFonts w:ascii="Calibri" w:hAnsi="Calibri" w:cs="Arial"/>
          <w:color w:val="595959" w:themeColor="text1" w:themeTint="A6"/>
          <w:sz w:val="26"/>
          <w:szCs w:val="26"/>
        </w:rPr>
        <w:t xml:space="preserve"> antes citado y de </w:t>
      </w:r>
      <w:r w:rsidRPr="003458D0">
        <w:rPr>
          <w:rFonts w:ascii="Calibri" w:hAnsi="Calibri" w:cs="Arial"/>
          <w:b/>
          <w:color w:val="595959" w:themeColor="text1" w:themeTint="A6"/>
          <w:sz w:val="26"/>
          <w:szCs w:val="26"/>
        </w:rPr>
        <w:t xml:space="preserve">cualquier </w:t>
      </w:r>
      <w:r w:rsidRPr="003458D0">
        <w:rPr>
          <w:rFonts w:ascii="Calibri" w:hAnsi="Calibri" w:cs="Arial"/>
          <w:color w:val="595959" w:themeColor="text1" w:themeTint="A6"/>
          <w:sz w:val="26"/>
          <w:szCs w:val="26"/>
        </w:rPr>
        <w:t xml:space="preserve">otro </w:t>
      </w:r>
      <w:r w:rsidRPr="003458D0">
        <w:rPr>
          <w:rFonts w:ascii="Calibri" w:hAnsi="Calibri" w:cs="Arial"/>
          <w:b/>
          <w:color w:val="595959" w:themeColor="text1" w:themeTint="A6"/>
          <w:sz w:val="26"/>
          <w:szCs w:val="26"/>
        </w:rPr>
        <w:t>acto administrativo</w:t>
      </w:r>
      <w:r w:rsidRPr="003458D0">
        <w:rPr>
          <w:rFonts w:ascii="Calibri" w:hAnsi="Calibri" w:cs="Arial"/>
          <w:color w:val="595959" w:themeColor="text1" w:themeTint="A6"/>
          <w:sz w:val="26"/>
          <w:szCs w:val="26"/>
        </w:rPr>
        <w:t xml:space="preserve"> que tenga su sustento o sea consecuencia de la orden, avalúo y valor antes señalados (emitidos de manera ilegal), como lo sería, entre otros, la determinación del impuesto predial, el requerimiento de pago de ese impuesto y el mandamiento de embargo por dicho concepto, </w:t>
      </w:r>
      <w:r w:rsidRPr="003458D0">
        <w:rPr>
          <w:rFonts w:ascii="Calibri" w:hAnsi="Calibri"/>
          <w:bCs/>
          <w:color w:val="595959" w:themeColor="text1" w:themeTint="A6"/>
          <w:sz w:val="26"/>
          <w:szCs w:val="27"/>
        </w:rPr>
        <w:t>atendiendo al principio de que lo accesorio sigue la suerte de lo principal. . . .</w:t>
      </w:r>
      <w:r w:rsidRPr="003458D0">
        <w:rPr>
          <w:rFonts w:ascii="Calibri" w:hAnsi="Calibri" w:cs="Arial"/>
          <w:b/>
          <w:color w:val="595959" w:themeColor="text1" w:themeTint="A6"/>
          <w:sz w:val="26"/>
          <w:szCs w:val="26"/>
        </w:rPr>
        <w:t xml:space="preserve"> </w:t>
      </w:r>
      <w:r>
        <w:rPr>
          <w:rFonts w:ascii="Calibri" w:hAnsi="Calibri" w:cs="Arial"/>
          <w:color w:val="595959" w:themeColor="text1" w:themeTint="A6"/>
          <w:sz w:val="26"/>
          <w:szCs w:val="27"/>
        </w:rPr>
        <w:t>. . . . . . . . . . . . . . . . . . . . . .</w:t>
      </w:r>
      <w:r w:rsidRPr="00505DE9">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 . . . . . . . . . . . . . . . . . . . .</w:t>
      </w:r>
      <w:r w:rsidRPr="00505DE9">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 . . . . . . </w:t>
      </w:r>
    </w:p>
    <w:p w:rsidR="003540B3" w:rsidRPr="003458D0" w:rsidRDefault="003540B3" w:rsidP="003540B3">
      <w:pPr>
        <w:ind w:firstLine="708"/>
        <w:jc w:val="both"/>
        <w:rPr>
          <w:rFonts w:ascii="Calibri" w:hAnsi="Calibri" w:cs="Arial"/>
          <w:color w:val="595959" w:themeColor="text1" w:themeTint="A6"/>
          <w:sz w:val="26"/>
          <w:szCs w:val="26"/>
        </w:rPr>
      </w:pPr>
    </w:p>
    <w:p w:rsidR="003540B3" w:rsidRPr="003458D0" w:rsidRDefault="003540B3" w:rsidP="003540B3">
      <w:pPr>
        <w:pStyle w:val="Textoindependiente"/>
        <w:rPr>
          <w:rFonts w:ascii="Calibri" w:hAnsi="Calibri"/>
          <w:color w:val="595959" w:themeColor="text1" w:themeTint="A6"/>
          <w:sz w:val="26"/>
        </w:rPr>
      </w:pPr>
      <w:r w:rsidRPr="003458D0">
        <w:rPr>
          <w:rFonts w:ascii="Calibri" w:hAnsi="Calibri" w:cs="Arial"/>
          <w:b/>
          <w:bCs/>
          <w:i/>
          <w:iCs/>
          <w:color w:val="595959" w:themeColor="text1" w:themeTint="A6"/>
          <w:sz w:val="22"/>
          <w:szCs w:val="26"/>
          <w:lang w:val="es-ES"/>
        </w:rPr>
        <w:lastRenderedPageBreak/>
        <w:tab/>
      </w:r>
      <w:r w:rsidRPr="003458D0">
        <w:rPr>
          <w:rFonts w:ascii="Calibri" w:hAnsi="Calibri" w:cs="Arial"/>
          <w:bCs/>
          <w:iCs/>
          <w:color w:val="595959" w:themeColor="text1" w:themeTint="A6"/>
          <w:sz w:val="26"/>
          <w:szCs w:val="26"/>
          <w:lang w:val="es-ES"/>
        </w:rPr>
        <w:t>En</w:t>
      </w:r>
      <w:r w:rsidRPr="003458D0">
        <w:rPr>
          <w:rFonts w:ascii="Calibri" w:hAnsi="Calibri" w:cs="Arial"/>
          <w:b/>
          <w:bCs/>
          <w:iCs/>
          <w:color w:val="595959" w:themeColor="text1" w:themeTint="A6"/>
          <w:sz w:val="26"/>
          <w:szCs w:val="26"/>
          <w:lang w:val="es-ES"/>
        </w:rPr>
        <w:t xml:space="preserve"> consecuencia</w:t>
      </w:r>
      <w:r w:rsidRPr="003458D0">
        <w:rPr>
          <w:rFonts w:ascii="Calibri" w:hAnsi="Calibri" w:cs="Arial"/>
          <w:bCs/>
          <w:iCs/>
          <w:color w:val="595959" w:themeColor="text1" w:themeTint="A6"/>
          <w:sz w:val="26"/>
          <w:szCs w:val="26"/>
          <w:lang w:val="es-ES"/>
        </w:rPr>
        <w:t xml:space="preserve">, </w:t>
      </w:r>
      <w:r w:rsidRPr="003458D0">
        <w:rPr>
          <w:rFonts w:ascii="Calibri" w:hAnsi="Calibri"/>
          <w:color w:val="595959" w:themeColor="text1" w:themeTint="A6"/>
          <w:sz w:val="26"/>
        </w:rPr>
        <w:t xml:space="preserve">las autoridades demandadas, para la determinación del impuesto predial y requerimiento de pago del mismo, en cuanto a los inmuebles mencionados, </w:t>
      </w:r>
      <w:r w:rsidRPr="003458D0">
        <w:rPr>
          <w:rFonts w:ascii="Calibri" w:hAnsi="Calibri"/>
          <w:b/>
          <w:color w:val="595959" w:themeColor="text1" w:themeTint="A6"/>
          <w:sz w:val="26"/>
        </w:rPr>
        <w:t>deberán tomar</w:t>
      </w:r>
      <w:r w:rsidRPr="003458D0">
        <w:rPr>
          <w:rFonts w:ascii="Calibri" w:hAnsi="Calibri"/>
          <w:color w:val="595959" w:themeColor="text1" w:themeTint="A6"/>
          <w:sz w:val="26"/>
        </w:rPr>
        <w:t xml:space="preserve"> como valores de los inmuebles, -en tanto no se practiquen avalúos siguiendo lo previsto en la Ley de Hacienda para los Municipios del Estado de Guanajuato-, los valores fiscales registrados con anterioridad  a los valores decretados nulos; por lo que deberán hacer los ajustes en sus archivos, expedientes y asientos, que resulten necesarios. . . . . . . . . . . . . . . </w:t>
      </w:r>
      <w:r>
        <w:rPr>
          <w:rFonts w:ascii="Calibri" w:hAnsi="Calibri" w:cs="Arial"/>
          <w:color w:val="595959" w:themeColor="text1" w:themeTint="A6"/>
          <w:sz w:val="26"/>
          <w:szCs w:val="27"/>
        </w:rPr>
        <w:t xml:space="preserve">. . . . . . . . . . . . . . </w:t>
      </w:r>
    </w:p>
    <w:p w:rsidR="003540B3" w:rsidRPr="003458D0" w:rsidRDefault="003540B3" w:rsidP="003540B3">
      <w:pPr>
        <w:pStyle w:val="Textoindependiente"/>
        <w:rPr>
          <w:rFonts w:ascii="Calibri" w:hAnsi="Calibri"/>
          <w:color w:val="595959" w:themeColor="text1" w:themeTint="A6"/>
          <w:sz w:val="26"/>
        </w:rPr>
      </w:pPr>
    </w:p>
    <w:p w:rsidR="003540B3" w:rsidRPr="003458D0" w:rsidRDefault="003540B3" w:rsidP="003540B3">
      <w:pPr>
        <w:pStyle w:val="Textoindependiente"/>
        <w:ind w:firstLine="708"/>
        <w:rPr>
          <w:rFonts w:ascii="Calibri" w:hAnsi="Calibri" w:cs="Arial"/>
          <w:bCs/>
          <w:iCs/>
          <w:color w:val="595959" w:themeColor="text1" w:themeTint="A6"/>
          <w:sz w:val="26"/>
          <w:szCs w:val="26"/>
          <w:lang w:val="es-ES"/>
        </w:rPr>
      </w:pPr>
      <w:r w:rsidRPr="003458D0">
        <w:rPr>
          <w:rFonts w:asciiTheme="minorHAnsi" w:hAnsiTheme="minorHAnsi"/>
          <w:color w:val="595959" w:themeColor="text1" w:themeTint="A6"/>
          <w:sz w:val="26"/>
          <w:szCs w:val="26"/>
          <w:lang w:eastAsia="es-MX"/>
        </w:rPr>
        <w:t>Por lo que hace a las excepciones y defensas que oponen las autoridades demandadas, se  expresa lo siguiente: . . . . . . . . . . . . . . . . . . . . . . . . . . . . . . . . . . . . .</w:t>
      </w:r>
    </w:p>
    <w:p w:rsidR="003540B3" w:rsidRPr="003458D0" w:rsidRDefault="003540B3" w:rsidP="003540B3">
      <w:pPr>
        <w:pStyle w:val="Textoindependiente"/>
        <w:ind w:firstLine="708"/>
        <w:rPr>
          <w:rFonts w:asciiTheme="minorHAnsi" w:hAnsiTheme="minorHAnsi" w:cs="Calibri"/>
          <w:color w:val="595959" w:themeColor="text1" w:themeTint="A6"/>
          <w:sz w:val="26"/>
          <w:szCs w:val="26"/>
          <w:lang w:val="es-ES"/>
        </w:rPr>
      </w:pPr>
    </w:p>
    <w:p w:rsidR="003540B3" w:rsidRPr="003458D0" w:rsidRDefault="003540B3" w:rsidP="003540B3">
      <w:pPr>
        <w:pStyle w:val="Textoindependiente"/>
        <w:rPr>
          <w:rFonts w:asciiTheme="minorHAnsi" w:hAnsiTheme="minorHAnsi" w:cs="Calibri"/>
          <w:color w:val="595959" w:themeColor="text1" w:themeTint="A6"/>
          <w:sz w:val="26"/>
          <w:szCs w:val="26"/>
        </w:rPr>
      </w:pPr>
      <w:r w:rsidRPr="003458D0">
        <w:rPr>
          <w:rFonts w:asciiTheme="minorHAnsi" w:hAnsiTheme="minorHAnsi" w:cs="Calibri"/>
          <w:color w:val="595959" w:themeColor="text1" w:themeTint="A6"/>
          <w:sz w:val="26"/>
          <w:szCs w:val="26"/>
        </w:rPr>
        <w:tab/>
        <w:t xml:space="preserve">a).- Tocante a la defensa de la </w:t>
      </w:r>
      <w:r w:rsidRPr="003458D0">
        <w:rPr>
          <w:rFonts w:asciiTheme="minorHAnsi" w:hAnsiTheme="minorHAnsi" w:cs="Calibri"/>
          <w:i/>
          <w:color w:val="595959" w:themeColor="text1" w:themeTint="A6"/>
          <w:sz w:val="26"/>
          <w:szCs w:val="26"/>
        </w:rPr>
        <w:t xml:space="preserve">“Non </w:t>
      </w:r>
      <w:proofErr w:type="spellStart"/>
      <w:r w:rsidRPr="003458D0">
        <w:rPr>
          <w:rFonts w:asciiTheme="minorHAnsi" w:hAnsiTheme="minorHAnsi" w:cs="Calibri"/>
          <w:i/>
          <w:color w:val="595959" w:themeColor="text1" w:themeTint="A6"/>
          <w:sz w:val="26"/>
          <w:szCs w:val="26"/>
        </w:rPr>
        <w:t>Mutati</w:t>
      </w:r>
      <w:proofErr w:type="spellEnd"/>
      <w:r w:rsidRPr="003458D0">
        <w:rPr>
          <w:rFonts w:asciiTheme="minorHAnsi" w:hAnsiTheme="minorHAnsi" w:cs="Calibri"/>
          <w:i/>
          <w:color w:val="595959" w:themeColor="text1" w:themeTint="A6"/>
          <w:sz w:val="26"/>
          <w:szCs w:val="26"/>
        </w:rPr>
        <w:t xml:space="preserve"> </w:t>
      </w:r>
      <w:proofErr w:type="spellStart"/>
      <w:r w:rsidRPr="003458D0">
        <w:rPr>
          <w:rFonts w:asciiTheme="minorHAnsi" w:hAnsiTheme="minorHAnsi" w:cs="Calibri"/>
          <w:i/>
          <w:color w:val="595959" w:themeColor="text1" w:themeTint="A6"/>
          <w:sz w:val="26"/>
          <w:szCs w:val="26"/>
        </w:rPr>
        <w:t>Libeli</w:t>
      </w:r>
      <w:proofErr w:type="spellEnd"/>
      <w:r w:rsidRPr="003458D0">
        <w:rPr>
          <w:rFonts w:asciiTheme="minorHAnsi" w:hAnsiTheme="minorHAnsi" w:cs="Calibri"/>
          <w:i/>
          <w:color w:val="595959" w:themeColor="text1" w:themeTint="A6"/>
          <w:sz w:val="26"/>
          <w:szCs w:val="26"/>
        </w:rPr>
        <w:t>”</w:t>
      </w:r>
      <w:r w:rsidRPr="003458D0">
        <w:rPr>
          <w:rFonts w:asciiTheme="minorHAnsi" w:hAnsiTheme="minorHAnsi" w:cs="Calibri"/>
          <w:color w:val="595959" w:themeColor="text1" w:themeTint="A6"/>
          <w:sz w:val="26"/>
          <w:szCs w:val="26"/>
        </w:rPr>
        <w:t>, no opera, toda vez que en un proceso administrativo, el actor sólo puede perfeccionar su demanda ya sea aclarándola, corrigiéndola o bien, completándola a requerimiento de este Órgano Jurisdiccional, de acuerdo a lo establecido por el artículo 265 del ya citado Código de Procedimiento y Justicia Administrativa . . . . . . . . . . . . . . . . . . . . . . . . . . . . . . . . .</w:t>
      </w:r>
    </w:p>
    <w:p w:rsidR="003540B3" w:rsidRPr="003458D0" w:rsidRDefault="003540B3" w:rsidP="003540B3">
      <w:pPr>
        <w:pStyle w:val="Textoindependiente"/>
        <w:rPr>
          <w:rFonts w:ascii="Calibri" w:hAnsi="Calibri" w:cs="Arial"/>
          <w:b/>
          <w:bCs/>
          <w:i/>
          <w:iCs/>
          <w:color w:val="595959" w:themeColor="text1" w:themeTint="A6"/>
          <w:sz w:val="22"/>
          <w:szCs w:val="26"/>
        </w:rPr>
      </w:pPr>
    </w:p>
    <w:p w:rsidR="003540B3" w:rsidRDefault="003540B3" w:rsidP="003540B3">
      <w:pPr>
        <w:pStyle w:val="Textoindependiente"/>
        <w:rPr>
          <w:rFonts w:ascii="Calibri" w:hAnsi="Calibri" w:cs="Arial"/>
          <w:bCs/>
          <w:iCs/>
          <w:color w:val="595959" w:themeColor="text1" w:themeTint="A6"/>
          <w:sz w:val="26"/>
          <w:szCs w:val="26"/>
          <w:lang w:val="es-ES"/>
        </w:rPr>
      </w:pPr>
      <w:r w:rsidRPr="003458D0">
        <w:rPr>
          <w:rFonts w:ascii="Calibri" w:hAnsi="Calibri" w:cs="Arial"/>
          <w:bCs/>
          <w:iCs/>
          <w:color w:val="595959" w:themeColor="text1" w:themeTint="A6"/>
          <w:sz w:val="26"/>
          <w:szCs w:val="26"/>
          <w:lang w:val="es-ES"/>
        </w:rPr>
        <w:tab/>
        <w:t xml:space="preserve">b).- Respecto de la excepción de la falta de derecho; tampoco opera; toda vez que como se ha determinado en el presente asunto, se decretó la nulidad de los </w:t>
      </w:r>
      <w:r>
        <w:rPr>
          <w:rFonts w:ascii="Calibri" w:hAnsi="Calibri" w:cs="Arial"/>
          <w:bCs/>
          <w:iCs/>
          <w:color w:val="595959" w:themeColor="text1" w:themeTint="A6"/>
          <w:sz w:val="26"/>
          <w:szCs w:val="26"/>
          <w:lang w:val="es-ES"/>
        </w:rPr>
        <w:t xml:space="preserve"> </w:t>
      </w:r>
      <w:r w:rsidRPr="003458D0">
        <w:rPr>
          <w:rFonts w:ascii="Calibri" w:hAnsi="Calibri" w:cs="Arial"/>
          <w:bCs/>
          <w:iCs/>
          <w:color w:val="595959" w:themeColor="text1" w:themeTint="A6"/>
          <w:sz w:val="26"/>
          <w:szCs w:val="26"/>
          <w:lang w:val="es-ES"/>
        </w:rPr>
        <w:t>actos</w:t>
      </w:r>
      <w:r>
        <w:rPr>
          <w:rFonts w:ascii="Calibri" w:hAnsi="Calibri" w:cs="Arial"/>
          <w:bCs/>
          <w:iCs/>
          <w:color w:val="595959" w:themeColor="text1" w:themeTint="A6"/>
          <w:sz w:val="26"/>
          <w:szCs w:val="26"/>
          <w:lang w:val="es-ES"/>
        </w:rPr>
        <w:t xml:space="preserve"> </w:t>
      </w:r>
      <w:r w:rsidRPr="003458D0">
        <w:rPr>
          <w:rFonts w:ascii="Calibri" w:hAnsi="Calibri" w:cs="Arial"/>
          <w:bCs/>
          <w:iCs/>
          <w:color w:val="595959" w:themeColor="text1" w:themeTint="A6"/>
          <w:sz w:val="26"/>
          <w:szCs w:val="26"/>
          <w:lang w:val="es-ES"/>
        </w:rPr>
        <w:t xml:space="preserve"> impugnados, por</w:t>
      </w:r>
      <w:r>
        <w:rPr>
          <w:rFonts w:ascii="Calibri" w:hAnsi="Calibri" w:cs="Arial"/>
          <w:bCs/>
          <w:iCs/>
          <w:color w:val="595959" w:themeColor="text1" w:themeTint="A6"/>
          <w:sz w:val="26"/>
          <w:szCs w:val="26"/>
          <w:lang w:val="es-ES"/>
        </w:rPr>
        <w:t xml:space="preserve"> </w:t>
      </w:r>
      <w:r w:rsidRPr="003458D0">
        <w:rPr>
          <w:rFonts w:ascii="Calibri" w:hAnsi="Calibri" w:cs="Arial"/>
          <w:bCs/>
          <w:iCs/>
          <w:color w:val="595959" w:themeColor="text1" w:themeTint="A6"/>
          <w:sz w:val="26"/>
          <w:szCs w:val="26"/>
          <w:lang w:val="es-ES"/>
        </w:rPr>
        <w:t xml:space="preserve"> lo </w:t>
      </w:r>
      <w:r>
        <w:rPr>
          <w:rFonts w:ascii="Calibri" w:hAnsi="Calibri" w:cs="Arial"/>
          <w:bCs/>
          <w:iCs/>
          <w:color w:val="595959" w:themeColor="text1" w:themeTint="A6"/>
          <w:sz w:val="26"/>
          <w:szCs w:val="26"/>
          <w:lang w:val="es-ES"/>
        </w:rPr>
        <w:t xml:space="preserve"> </w:t>
      </w:r>
      <w:r w:rsidRPr="003458D0">
        <w:rPr>
          <w:rFonts w:ascii="Calibri" w:hAnsi="Calibri" w:cs="Arial"/>
          <w:bCs/>
          <w:iCs/>
          <w:color w:val="595959" w:themeColor="text1" w:themeTint="A6"/>
          <w:sz w:val="26"/>
          <w:szCs w:val="26"/>
          <w:lang w:val="es-ES"/>
        </w:rPr>
        <w:t xml:space="preserve">que </w:t>
      </w:r>
      <w:r>
        <w:rPr>
          <w:rFonts w:ascii="Calibri" w:hAnsi="Calibri" w:cs="Arial"/>
          <w:bCs/>
          <w:iCs/>
          <w:color w:val="595959" w:themeColor="text1" w:themeTint="A6"/>
          <w:sz w:val="26"/>
          <w:szCs w:val="26"/>
          <w:lang w:val="es-ES"/>
        </w:rPr>
        <w:t xml:space="preserve"> </w:t>
      </w:r>
      <w:r w:rsidRPr="003458D0">
        <w:rPr>
          <w:rFonts w:ascii="Calibri" w:hAnsi="Calibri" w:cs="Arial"/>
          <w:bCs/>
          <w:iCs/>
          <w:color w:val="595959" w:themeColor="text1" w:themeTint="A6"/>
          <w:sz w:val="26"/>
          <w:szCs w:val="26"/>
          <w:lang w:val="es-ES"/>
        </w:rPr>
        <w:t xml:space="preserve">no </w:t>
      </w:r>
      <w:r>
        <w:rPr>
          <w:rFonts w:ascii="Calibri" w:hAnsi="Calibri" w:cs="Arial"/>
          <w:bCs/>
          <w:iCs/>
          <w:color w:val="595959" w:themeColor="text1" w:themeTint="A6"/>
          <w:sz w:val="26"/>
          <w:szCs w:val="26"/>
          <w:lang w:val="es-ES"/>
        </w:rPr>
        <w:t xml:space="preserve"> </w:t>
      </w:r>
      <w:r w:rsidRPr="003458D0">
        <w:rPr>
          <w:rFonts w:ascii="Calibri" w:hAnsi="Calibri" w:cs="Arial"/>
          <w:bCs/>
          <w:iCs/>
          <w:color w:val="595959" w:themeColor="text1" w:themeTint="A6"/>
          <w:sz w:val="26"/>
          <w:szCs w:val="26"/>
          <w:lang w:val="es-ES"/>
        </w:rPr>
        <w:t xml:space="preserve">carecía </w:t>
      </w:r>
      <w:r>
        <w:rPr>
          <w:rFonts w:ascii="Calibri" w:hAnsi="Calibri" w:cs="Arial"/>
          <w:bCs/>
          <w:iCs/>
          <w:color w:val="595959" w:themeColor="text1" w:themeTint="A6"/>
          <w:sz w:val="26"/>
          <w:szCs w:val="26"/>
          <w:lang w:val="es-ES"/>
        </w:rPr>
        <w:t xml:space="preserve"> </w:t>
      </w:r>
      <w:r w:rsidRPr="003458D0">
        <w:rPr>
          <w:rFonts w:ascii="Calibri" w:hAnsi="Calibri" w:cs="Arial"/>
          <w:bCs/>
          <w:iCs/>
          <w:color w:val="595959" w:themeColor="text1" w:themeTint="A6"/>
          <w:sz w:val="26"/>
          <w:szCs w:val="26"/>
          <w:lang w:val="es-ES"/>
        </w:rPr>
        <w:t>de</w:t>
      </w:r>
      <w:r>
        <w:rPr>
          <w:rFonts w:ascii="Calibri" w:hAnsi="Calibri" w:cs="Arial"/>
          <w:bCs/>
          <w:iCs/>
          <w:color w:val="595959" w:themeColor="text1" w:themeTint="A6"/>
          <w:sz w:val="26"/>
          <w:szCs w:val="26"/>
          <w:lang w:val="es-ES"/>
        </w:rPr>
        <w:t xml:space="preserve"> </w:t>
      </w:r>
      <w:r w:rsidRPr="003458D0">
        <w:rPr>
          <w:rFonts w:ascii="Calibri" w:hAnsi="Calibri" w:cs="Arial"/>
          <w:bCs/>
          <w:iCs/>
          <w:color w:val="595959" w:themeColor="text1" w:themeTint="A6"/>
          <w:sz w:val="26"/>
          <w:szCs w:val="26"/>
          <w:lang w:val="es-ES"/>
        </w:rPr>
        <w:t xml:space="preserve"> Derecho </w:t>
      </w:r>
      <w:r>
        <w:rPr>
          <w:rFonts w:ascii="Calibri" w:hAnsi="Calibri" w:cs="Arial"/>
          <w:bCs/>
          <w:iCs/>
          <w:color w:val="595959" w:themeColor="text1" w:themeTint="A6"/>
          <w:sz w:val="26"/>
          <w:szCs w:val="26"/>
          <w:lang w:val="es-ES"/>
        </w:rPr>
        <w:t xml:space="preserve"> </w:t>
      </w:r>
      <w:r w:rsidRPr="003458D0">
        <w:rPr>
          <w:rFonts w:ascii="Calibri" w:hAnsi="Calibri" w:cs="Arial"/>
          <w:bCs/>
          <w:iCs/>
          <w:color w:val="595959" w:themeColor="text1" w:themeTint="A6"/>
          <w:sz w:val="26"/>
          <w:szCs w:val="26"/>
          <w:lang w:val="es-ES"/>
        </w:rPr>
        <w:t xml:space="preserve">la </w:t>
      </w:r>
      <w:r>
        <w:rPr>
          <w:rFonts w:ascii="Calibri" w:hAnsi="Calibri" w:cs="Arial"/>
          <w:bCs/>
          <w:iCs/>
          <w:color w:val="595959" w:themeColor="text1" w:themeTint="A6"/>
          <w:sz w:val="26"/>
          <w:szCs w:val="26"/>
          <w:lang w:val="es-ES"/>
        </w:rPr>
        <w:t xml:space="preserve"> </w:t>
      </w:r>
      <w:r w:rsidRPr="003458D0">
        <w:rPr>
          <w:rFonts w:ascii="Calibri" w:hAnsi="Calibri" w:cs="Arial"/>
          <w:bCs/>
          <w:iCs/>
          <w:color w:val="595959" w:themeColor="text1" w:themeTint="A6"/>
          <w:sz w:val="26"/>
          <w:szCs w:val="26"/>
          <w:lang w:val="es-ES"/>
        </w:rPr>
        <w:t xml:space="preserve">parte </w:t>
      </w:r>
      <w:r>
        <w:rPr>
          <w:rFonts w:ascii="Calibri" w:hAnsi="Calibri" w:cs="Arial"/>
          <w:bCs/>
          <w:iCs/>
          <w:color w:val="595959" w:themeColor="text1" w:themeTint="A6"/>
          <w:sz w:val="26"/>
          <w:szCs w:val="26"/>
          <w:lang w:val="es-ES"/>
        </w:rPr>
        <w:t xml:space="preserve"> </w:t>
      </w:r>
      <w:r w:rsidRPr="003458D0">
        <w:rPr>
          <w:rFonts w:ascii="Calibri" w:hAnsi="Calibri" w:cs="Arial"/>
          <w:bCs/>
          <w:iCs/>
          <w:color w:val="595959" w:themeColor="text1" w:themeTint="A6"/>
          <w:sz w:val="26"/>
          <w:szCs w:val="26"/>
          <w:lang w:val="es-ES"/>
        </w:rPr>
        <w:t xml:space="preserve">actora; no </w:t>
      </w:r>
    </w:p>
    <w:p w:rsidR="003540B3" w:rsidRDefault="003540B3" w:rsidP="003540B3">
      <w:pPr>
        <w:ind w:firstLine="708"/>
        <w:jc w:val="right"/>
        <w:rPr>
          <w:rFonts w:ascii="Calibri" w:hAnsi="Calibri"/>
          <w:b/>
          <w:color w:val="595959" w:themeColor="text1" w:themeTint="A6"/>
          <w:sz w:val="26"/>
          <w:szCs w:val="27"/>
        </w:rPr>
      </w:pPr>
      <w:r>
        <w:rPr>
          <w:rFonts w:ascii="Calibri" w:hAnsi="Calibri"/>
          <w:b/>
          <w:color w:val="595959" w:themeColor="text1" w:themeTint="A6"/>
          <w:sz w:val="26"/>
          <w:szCs w:val="27"/>
        </w:rPr>
        <w:t>Expediente número 450/2016-JN</w:t>
      </w:r>
    </w:p>
    <w:p w:rsidR="003540B3" w:rsidRDefault="003540B3" w:rsidP="003540B3">
      <w:pPr>
        <w:pStyle w:val="Textoindependiente"/>
        <w:rPr>
          <w:rFonts w:ascii="Calibri" w:hAnsi="Calibri" w:cs="Arial"/>
          <w:bCs/>
          <w:iCs/>
          <w:color w:val="595959" w:themeColor="text1" w:themeTint="A6"/>
          <w:sz w:val="26"/>
          <w:szCs w:val="26"/>
          <w:lang w:val="es-ES"/>
        </w:rPr>
      </w:pPr>
    </w:p>
    <w:p w:rsidR="003540B3" w:rsidRPr="003458D0" w:rsidRDefault="003540B3" w:rsidP="003540B3">
      <w:pPr>
        <w:pStyle w:val="Textoindependiente"/>
        <w:rPr>
          <w:rFonts w:ascii="Calibri" w:hAnsi="Calibri" w:cs="Arial"/>
          <w:bCs/>
          <w:iCs/>
          <w:color w:val="595959" w:themeColor="text1" w:themeTint="A6"/>
          <w:sz w:val="26"/>
          <w:szCs w:val="26"/>
          <w:lang w:val="es-ES"/>
        </w:rPr>
      </w:pPr>
      <w:proofErr w:type="gramStart"/>
      <w:r w:rsidRPr="003458D0">
        <w:rPr>
          <w:rFonts w:ascii="Calibri" w:hAnsi="Calibri" w:cs="Arial"/>
          <w:bCs/>
          <w:iCs/>
          <w:color w:val="595959" w:themeColor="text1" w:themeTint="A6"/>
          <w:sz w:val="26"/>
          <w:szCs w:val="26"/>
          <w:lang w:val="es-ES"/>
        </w:rPr>
        <w:t>advirtiéndose</w:t>
      </w:r>
      <w:proofErr w:type="gramEnd"/>
      <w:r w:rsidRPr="003458D0">
        <w:rPr>
          <w:rFonts w:ascii="Calibri" w:hAnsi="Calibri" w:cs="Arial"/>
          <w:bCs/>
          <w:iCs/>
          <w:color w:val="595959" w:themeColor="text1" w:themeTint="A6"/>
          <w:sz w:val="26"/>
          <w:szCs w:val="26"/>
          <w:lang w:val="es-ES"/>
        </w:rPr>
        <w:t xml:space="preserve"> ninguna otra excepción que se desprenda de lo narrado en los escritos de contestación de la demanda. . . . . . . . . . . . . . . . . . . . . . . . . . . . . . . . . . . .</w:t>
      </w:r>
    </w:p>
    <w:p w:rsidR="003540B3" w:rsidRPr="003458D0" w:rsidRDefault="003540B3" w:rsidP="003540B3">
      <w:pPr>
        <w:pStyle w:val="Sangradetextonormal"/>
        <w:ind w:left="0"/>
        <w:jc w:val="both"/>
        <w:rPr>
          <w:rFonts w:ascii="Calibri" w:hAnsi="Calibri" w:cs="Arial"/>
          <w:bCs/>
          <w:iCs/>
          <w:color w:val="595959" w:themeColor="text1" w:themeTint="A6"/>
          <w:sz w:val="26"/>
          <w:szCs w:val="26"/>
        </w:rPr>
      </w:pPr>
    </w:p>
    <w:p w:rsidR="003540B3" w:rsidRPr="003458D0" w:rsidRDefault="003540B3" w:rsidP="003540B3">
      <w:pPr>
        <w:pStyle w:val="Sangradetextonormal"/>
        <w:ind w:left="0"/>
        <w:jc w:val="both"/>
        <w:rPr>
          <w:rFonts w:ascii="Calibri" w:hAnsi="Calibri" w:cs="Calibri"/>
          <w:color w:val="595959" w:themeColor="text1" w:themeTint="A6"/>
          <w:sz w:val="26"/>
          <w:szCs w:val="26"/>
        </w:rPr>
      </w:pPr>
      <w:r w:rsidRPr="003458D0">
        <w:rPr>
          <w:rFonts w:ascii="Calibri" w:hAnsi="Calibri" w:cs="Arial"/>
          <w:bCs/>
          <w:iCs/>
          <w:color w:val="595959" w:themeColor="text1" w:themeTint="A6"/>
          <w:sz w:val="26"/>
          <w:szCs w:val="26"/>
        </w:rPr>
        <w:tab/>
        <w:t xml:space="preserve">Por último, </w:t>
      </w:r>
      <w:r w:rsidRPr="003458D0">
        <w:rPr>
          <w:rFonts w:ascii="Calibri" w:hAnsi="Calibri" w:cs="Calibri"/>
          <w:color w:val="595959" w:themeColor="text1" w:themeTint="A6"/>
          <w:sz w:val="26"/>
          <w:szCs w:val="26"/>
        </w:rPr>
        <w:t>respecto de la objeción realizada por la parte actora, por escrito de fecha 1 uno de agosto del año 2016 dos mil dieciséis, a los documentos aportados por las autoridades demandadas juntamente con sus contestaciones de demanda; consistentes en los actos del procedimiento de valuación de los inmuebles propiedad de la parte actora; debe decirse que a juicio de este Juzgador, no surte efectos la objeción planteada, porque tales actos consistentes en la orden de valuación, avalúo, notificación del resultado de avalúo, diversas actas circunstanciadas y de notificación, formaron parte de los procedimientos administrativos de valuación del inmueble y de ejecución; y que no obstante los errores contenidos en los mismos y omisiones ya señalada,; sí se trata de documentos públicos,</w:t>
      </w:r>
      <w:r w:rsidRPr="003458D0">
        <w:rPr>
          <w:rFonts w:asciiTheme="minorHAnsi" w:hAnsiTheme="minorHAnsi"/>
          <w:color w:val="595959" w:themeColor="text1" w:themeTint="A6"/>
          <w:sz w:val="26"/>
          <w:szCs w:val="26"/>
        </w:rPr>
        <w:t xml:space="preserve"> por lo que sí cuentan con valor probatorio pleno</w:t>
      </w:r>
      <w:r w:rsidRPr="003458D0">
        <w:rPr>
          <w:rFonts w:ascii="Calibri" w:hAnsi="Calibri" w:cs="Calibri"/>
          <w:color w:val="595959" w:themeColor="text1" w:themeTint="A6"/>
          <w:sz w:val="26"/>
          <w:szCs w:val="26"/>
        </w:rPr>
        <w:t>, de conformidad con lo señalado en los artículos 117, 121, 123 y 131 del Código de Procedimiento y Justicia Administrativa para el Estado y los Municipios de Guanajuato. . . . . . . . . . . . . . . . . . . . . . . . . . . . . . . . . . . . . . . . . . . . . . . . . . . . . . . . . . . .</w:t>
      </w:r>
    </w:p>
    <w:p w:rsidR="003540B3" w:rsidRPr="003458D0" w:rsidRDefault="003540B3" w:rsidP="003540B3">
      <w:pPr>
        <w:pStyle w:val="Textoindependiente"/>
        <w:rPr>
          <w:rFonts w:ascii="Calibri" w:hAnsi="Calibri" w:cs="Arial"/>
          <w:b/>
          <w:bCs/>
          <w:i/>
          <w:iCs/>
          <w:color w:val="595959" w:themeColor="text1" w:themeTint="A6"/>
          <w:sz w:val="22"/>
          <w:szCs w:val="26"/>
          <w:lang w:val="es-ES"/>
        </w:rPr>
      </w:pPr>
    </w:p>
    <w:p w:rsidR="003540B3" w:rsidRPr="003458D0" w:rsidRDefault="003540B3" w:rsidP="003540B3">
      <w:pPr>
        <w:pStyle w:val="Sangra2detindependiente"/>
        <w:rPr>
          <w:rFonts w:ascii="Calibri" w:hAnsi="Calibri" w:cs="Arial"/>
          <w:color w:val="595959" w:themeColor="text1" w:themeTint="A6"/>
          <w:sz w:val="26"/>
          <w:szCs w:val="26"/>
        </w:rPr>
      </w:pPr>
      <w:r w:rsidRPr="003458D0">
        <w:rPr>
          <w:rFonts w:ascii="Calibri" w:hAnsi="Calibri" w:cs="Arial"/>
          <w:b/>
          <w:bCs/>
          <w:i/>
          <w:iCs/>
          <w:color w:val="595959" w:themeColor="text1" w:themeTint="A6"/>
          <w:sz w:val="26"/>
          <w:szCs w:val="26"/>
        </w:rPr>
        <w:lastRenderedPageBreak/>
        <w:t xml:space="preserve">SEPTIMO.- </w:t>
      </w:r>
      <w:r w:rsidRPr="003458D0">
        <w:rPr>
          <w:rFonts w:ascii="Calibri" w:hAnsi="Calibri" w:cs="Arial"/>
          <w:color w:val="595959" w:themeColor="text1" w:themeTint="A6"/>
          <w:sz w:val="26"/>
          <w:szCs w:val="26"/>
        </w:rPr>
        <w:t>En virtud de que los conceptos de impugnación analizados, resultaron fundados, lo que resulta suficiente para decretar la nulidad total de los actos impugnados; trae como consecuencia que sea innecesario el estudio de los restantes conceptos de impugnación esgrimidos, ya que ello no cambiaría, ni afectaría el sentido de esta resolución. . . . . . . . . . . . . . . . . . . . . . . . . .</w:t>
      </w:r>
      <w:r w:rsidRPr="00DB718C">
        <w:rPr>
          <w:rFonts w:ascii="Calibri" w:hAnsi="Calibri" w:cs="Arial"/>
          <w:color w:val="595959" w:themeColor="text1" w:themeTint="A6"/>
          <w:sz w:val="26"/>
        </w:rPr>
        <w:t xml:space="preserve"> </w:t>
      </w:r>
      <w:r>
        <w:rPr>
          <w:rFonts w:ascii="Calibri" w:hAnsi="Calibri" w:cs="Arial"/>
          <w:color w:val="595959" w:themeColor="text1" w:themeTint="A6"/>
          <w:sz w:val="26"/>
        </w:rPr>
        <w:t xml:space="preserve">. . . . . . . . . . . </w:t>
      </w:r>
    </w:p>
    <w:p w:rsidR="003540B3" w:rsidRPr="003458D0" w:rsidRDefault="003540B3" w:rsidP="003540B3">
      <w:pPr>
        <w:pStyle w:val="Textoindependiente"/>
        <w:ind w:firstLine="708"/>
        <w:rPr>
          <w:rFonts w:ascii="Calibri" w:hAnsi="Calibri" w:cs="Arial"/>
          <w:color w:val="595959" w:themeColor="text1" w:themeTint="A6"/>
          <w:sz w:val="22"/>
          <w:szCs w:val="26"/>
        </w:rPr>
      </w:pPr>
    </w:p>
    <w:p w:rsidR="003540B3" w:rsidRPr="003458D0" w:rsidRDefault="003540B3" w:rsidP="003540B3">
      <w:pPr>
        <w:pStyle w:val="Textoindependiente"/>
        <w:ind w:firstLine="708"/>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 xml:space="preserve">Vale de sustento a lo anterior, la tesis de jurisprudencia que a la letra señala: </w:t>
      </w:r>
    </w:p>
    <w:p w:rsidR="003540B3" w:rsidRPr="003458D0" w:rsidRDefault="003540B3" w:rsidP="003540B3">
      <w:pPr>
        <w:pStyle w:val="Textoindependiente"/>
        <w:ind w:firstLine="708"/>
        <w:rPr>
          <w:rFonts w:ascii="Calibri" w:hAnsi="Calibri" w:cs="Arial"/>
          <w:color w:val="595959" w:themeColor="text1" w:themeTint="A6"/>
          <w:sz w:val="22"/>
          <w:szCs w:val="26"/>
        </w:rPr>
      </w:pPr>
    </w:p>
    <w:p w:rsidR="003540B3" w:rsidRPr="003458D0" w:rsidRDefault="003540B3" w:rsidP="003540B3">
      <w:pPr>
        <w:pStyle w:val="Textoindependiente"/>
        <w:ind w:firstLine="708"/>
        <w:rPr>
          <w:rFonts w:ascii="Calibri" w:hAnsi="Calibri" w:cs="Arial"/>
          <w:color w:val="595959" w:themeColor="text1" w:themeTint="A6"/>
          <w:sz w:val="26"/>
          <w:szCs w:val="26"/>
        </w:rPr>
      </w:pPr>
      <w:r w:rsidRPr="003458D0">
        <w:rPr>
          <w:rFonts w:ascii="Calibri" w:hAnsi="Calibri"/>
          <w:b/>
          <w:bCs/>
          <w:i/>
          <w:iCs/>
          <w:color w:val="595959" w:themeColor="text1" w:themeTint="A6"/>
          <w:sz w:val="26"/>
          <w:szCs w:val="26"/>
        </w:rPr>
        <w:t xml:space="preserve">“CONCEPTOS DE VIOLACION. CUANDO SU ESTUDIO ES INNECESARIO. </w:t>
      </w:r>
      <w:r w:rsidRPr="003458D0">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458D0">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3458D0">
        <w:rPr>
          <w:rFonts w:ascii="Calibri" w:hAnsi="Calibri"/>
          <w:color w:val="595959" w:themeColor="text1" w:themeTint="A6"/>
          <w:sz w:val="26"/>
          <w:szCs w:val="26"/>
        </w:rPr>
        <w:t xml:space="preserve">. . . . . . . . . . </w:t>
      </w:r>
      <w:r w:rsidRPr="003458D0">
        <w:rPr>
          <w:rFonts w:ascii="Calibri" w:hAnsi="Calibri" w:cs="Arial"/>
          <w:color w:val="595959" w:themeColor="text1" w:themeTint="A6"/>
          <w:sz w:val="26"/>
          <w:szCs w:val="26"/>
        </w:rPr>
        <w:t xml:space="preserve">. . . . . . . . . . . . . . . . . . . . . . . . . . . </w:t>
      </w:r>
    </w:p>
    <w:p w:rsidR="003540B3" w:rsidRPr="003458D0" w:rsidRDefault="003540B3" w:rsidP="003540B3">
      <w:pPr>
        <w:pStyle w:val="Textoindependiente"/>
        <w:rPr>
          <w:rFonts w:ascii="Calibri" w:hAnsi="Calibri"/>
          <w:color w:val="595959" w:themeColor="text1" w:themeTint="A6"/>
          <w:sz w:val="22"/>
          <w:szCs w:val="26"/>
        </w:rPr>
      </w:pPr>
    </w:p>
    <w:p w:rsidR="003540B3" w:rsidRPr="003458D0" w:rsidRDefault="003540B3" w:rsidP="003540B3">
      <w:pPr>
        <w:pStyle w:val="Textoindependiente"/>
        <w:ind w:firstLine="708"/>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 xml:space="preserve">Por lo anteriormente expuesto, y con fundamento además en lo dispuesto en los artículos 249, 287, 298, 299, 300, fracción II; y, 302, fracciones  II y III del </w:t>
      </w:r>
      <w:r w:rsidRPr="003458D0">
        <w:rPr>
          <w:rFonts w:ascii="Calibri" w:hAnsi="Calibri"/>
          <w:color w:val="595959" w:themeColor="text1" w:themeTint="A6"/>
          <w:sz w:val="26"/>
          <w:szCs w:val="26"/>
        </w:rPr>
        <w:t>Código de Procedimiento y Justicia Administrativa para el Estado y los Municipios de Guanajuato,</w:t>
      </w:r>
      <w:r w:rsidRPr="003458D0">
        <w:rPr>
          <w:rFonts w:ascii="Calibri" w:hAnsi="Calibri" w:cs="Arial"/>
          <w:color w:val="595959" w:themeColor="text1" w:themeTint="A6"/>
          <w:sz w:val="26"/>
          <w:szCs w:val="26"/>
        </w:rPr>
        <w:t xml:space="preserve"> es de resolverse y se. </w:t>
      </w:r>
      <w:r w:rsidRPr="003458D0">
        <w:rPr>
          <w:rFonts w:ascii="Calibri" w:hAnsi="Calibri"/>
          <w:color w:val="595959" w:themeColor="text1" w:themeTint="A6"/>
          <w:sz w:val="26"/>
          <w:szCs w:val="26"/>
        </w:rPr>
        <w:t xml:space="preserve">. </w:t>
      </w:r>
      <w:r w:rsidRPr="003458D0">
        <w:rPr>
          <w:rFonts w:ascii="Calibri" w:hAnsi="Calibri" w:cs="Arial"/>
          <w:color w:val="595959" w:themeColor="text1" w:themeTint="A6"/>
          <w:sz w:val="26"/>
          <w:szCs w:val="26"/>
        </w:rPr>
        <w:t>. . . . . . . . . . . . . . . . . . . . . . . . . . . . . . . . . . . . .</w:t>
      </w:r>
    </w:p>
    <w:p w:rsidR="003540B3" w:rsidRPr="003458D0" w:rsidRDefault="003540B3" w:rsidP="003540B3">
      <w:pPr>
        <w:pStyle w:val="Textoindependiente"/>
        <w:ind w:firstLine="708"/>
        <w:rPr>
          <w:rFonts w:ascii="Calibri" w:hAnsi="Calibri" w:cs="Arial"/>
          <w:color w:val="595959" w:themeColor="text1" w:themeTint="A6"/>
          <w:sz w:val="22"/>
          <w:szCs w:val="26"/>
        </w:rPr>
      </w:pPr>
    </w:p>
    <w:p w:rsidR="003540B3" w:rsidRPr="003458D0" w:rsidRDefault="003540B3" w:rsidP="003540B3">
      <w:pPr>
        <w:pStyle w:val="Textoindependiente"/>
        <w:jc w:val="center"/>
        <w:rPr>
          <w:rFonts w:ascii="Calibri" w:hAnsi="Calibri" w:cs="Arial"/>
          <w:i/>
          <w:iCs/>
          <w:color w:val="595959" w:themeColor="text1" w:themeTint="A6"/>
          <w:sz w:val="26"/>
          <w:szCs w:val="26"/>
        </w:rPr>
      </w:pPr>
      <w:r w:rsidRPr="003458D0">
        <w:rPr>
          <w:rFonts w:ascii="Calibri" w:hAnsi="Calibri" w:cs="Arial"/>
          <w:b/>
          <w:i/>
          <w:iCs/>
          <w:color w:val="595959" w:themeColor="text1" w:themeTint="A6"/>
          <w:sz w:val="26"/>
          <w:szCs w:val="26"/>
        </w:rPr>
        <w:t xml:space="preserve">R E S U E L V </w:t>
      </w:r>
      <w:proofErr w:type="gramStart"/>
      <w:r w:rsidRPr="003458D0">
        <w:rPr>
          <w:rFonts w:ascii="Calibri" w:hAnsi="Calibri" w:cs="Arial"/>
          <w:b/>
          <w:i/>
          <w:iCs/>
          <w:color w:val="595959" w:themeColor="text1" w:themeTint="A6"/>
          <w:sz w:val="26"/>
          <w:szCs w:val="26"/>
        </w:rPr>
        <w:t xml:space="preserve">E </w:t>
      </w:r>
      <w:r w:rsidRPr="003458D0">
        <w:rPr>
          <w:rFonts w:ascii="Calibri" w:hAnsi="Calibri" w:cs="Arial"/>
          <w:i/>
          <w:iCs/>
          <w:color w:val="595959" w:themeColor="text1" w:themeTint="A6"/>
          <w:sz w:val="26"/>
          <w:szCs w:val="26"/>
        </w:rPr>
        <w:t>:</w:t>
      </w:r>
      <w:proofErr w:type="gramEnd"/>
    </w:p>
    <w:p w:rsidR="003540B3" w:rsidRPr="003458D0" w:rsidRDefault="003540B3" w:rsidP="003540B3">
      <w:pPr>
        <w:pStyle w:val="Textoindependiente"/>
        <w:rPr>
          <w:rFonts w:ascii="Calibri" w:hAnsi="Calibri" w:cs="Arial"/>
          <w:b/>
          <w:bCs/>
          <w:i/>
          <w:iCs/>
          <w:color w:val="595959" w:themeColor="text1" w:themeTint="A6"/>
          <w:sz w:val="26"/>
          <w:szCs w:val="26"/>
        </w:rPr>
      </w:pPr>
    </w:p>
    <w:p w:rsidR="003540B3" w:rsidRPr="003458D0" w:rsidRDefault="003540B3" w:rsidP="003540B3">
      <w:pPr>
        <w:pStyle w:val="Textoindependiente"/>
        <w:ind w:firstLine="708"/>
        <w:rPr>
          <w:rFonts w:ascii="Calibri" w:hAnsi="Calibri" w:cs="Arial"/>
          <w:color w:val="595959" w:themeColor="text1" w:themeTint="A6"/>
          <w:sz w:val="26"/>
          <w:szCs w:val="26"/>
        </w:rPr>
      </w:pPr>
      <w:r w:rsidRPr="003458D0">
        <w:rPr>
          <w:rFonts w:ascii="Calibri" w:hAnsi="Calibri" w:cs="Arial"/>
          <w:b/>
          <w:bCs/>
          <w:i/>
          <w:iCs/>
          <w:color w:val="595959" w:themeColor="text1" w:themeTint="A6"/>
          <w:sz w:val="26"/>
          <w:szCs w:val="26"/>
        </w:rPr>
        <w:t>PRIMERO</w:t>
      </w:r>
      <w:r w:rsidRPr="003458D0">
        <w:rPr>
          <w:rFonts w:ascii="Calibri" w:hAnsi="Calibri" w:cs="Arial"/>
          <w:color w:val="595959" w:themeColor="text1" w:themeTint="A6"/>
          <w:sz w:val="26"/>
          <w:szCs w:val="26"/>
        </w:rPr>
        <w:t xml:space="preserve">.- Este Juzgado Segundo Administrativo Municipal determina ser  </w:t>
      </w:r>
      <w:r w:rsidRPr="003458D0">
        <w:rPr>
          <w:rFonts w:ascii="Calibri" w:hAnsi="Calibri" w:cs="Arial"/>
          <w:b/>
          <w:color w:val="595959" w:themeColor="text1" w:themeTint="A6"/>
          <w:sz w:val="26"/>
          <w:szCs w:val="26"/>
        </w:rPr>
        <w:t>competente</w:t>
      </w:r>
      <w:r w:rsidRPr="003458D0">
        <w:rPr>
          <w:rFonts w:ascii="Calibri" w:hAnsi="Calibri" w:cs="Arial"/>
          <w:color w:val="595959" w:themeColor="text1" w:themeTint="A6"/>
          <w:sz w:val="26"/>
          <w:szCs w:val="26"/>
        </w:rPr>
        <w:t xml:space="preserve"> para conocer y resolver del presente proceso administrativo. . . . . . . </w:t>
      </w:r>
    </w:p>
    <w:p w:rsidR="003540B3" w:rsidRPr="003458D0" w:rsidRDefault="003540B3" w:rsidP="003540B3">
      <w:pPr>
        <w:rPr>
          <w:rFonts w:ascii="Calibri" w:hAnsi="Calibri" w:cs="Arial"/>
          <w:b/>
          <w:bCs/>
          <w:i/>
          <w:iCs/>
          <w:color w:val="595959" w:themeColor="text1" w:themeTint="A6"/>
          <w:sz w:val="26"/>
          <w:szCs w:val="26"/>
          <w:lang w:val="es-MX"/>
        </w:rPr>
      </w:pPr>
    </w:p>
    <w:p w:rsidR="003540B3" w:rsidRPr="003458D0" w:rsidRDefault="003540B3" w:rsidP="003540B3">
      <w:pPr>
        <w:ind w:firstLine="708"/>
        <w:jc w:val="both"/>
        <w:rPr>
          <w:rFonts w:ascii="Calibri" w:hAnsi="Calibri" w:cs="Arial"/>
          <w:color w:val="595959" w:themeColor="text1" w:themeTint="A6"/>
          <w:sz w:val="26"/>
          <w:szCs w:val="26"/>
        </w:rPr>
      </w:pPr>
      <w:r w:rsidRPr="003458D0">
        <w:rPr>
          <w:rFonts w:ascii="Calibri" w:hAnsi="Calibri" w:cs="Arial"/>
          <w:b/>
          <w:bCs/>
          <w:i/>
          <w:iCs/>
          <w:color w:val="595959" w:themeColor="text1" w:themeTint="A6"/>
          <w:sz w:val="26"/>
          <w:szCs w:val="26"/>
        </w:rPr>
        <w:t xml:space="preserve">SEGUNDO.- </w:t>
      </w:r>
      <w:r w:rsidRPr="003458D0">
        <w:rPr>
          <w:rFonts w:ascii="Calibri" w:hAnsi="Calibri" w:cs="Arial"/>
          <w:color w:val="595959" w:themeColor="text1" w:themeTint="A6"/>
          <w:sz w:val="26"/>
          <w:szCs w:val="26"/>
        </w:rPr>
        <w:t xml:space="preserve">Resultó </w:t>
      </w:r>
      <w:r w:rsidRPr="003458D0">
        <w:rPr>
          <w:rFonts w:ascii="Calibri" w:hAnsi="Calibri" w:cs="Arial"/>
          <w:b/>
          <w:color w:val="595959" w:themeColor="text1" w:themeTint="A6"/>
          <w:sz w:val="26"/>
          <w:szCs w:val="26"/>
        </w:rPr>
        <w:t>procedente</w:t>
      </w:r>
      <w:r w:rsidRPr="003458D0">
        <w:rPr>
          <w:rFonts w:ascii="Calibri" w:hAnsi="Calibri" w:cs="Arial"/>
          <w:color w:val="595959" w:themeColor="text1" w:themeTint="A6"/>
          <w:sz w:val="26"/>
          <w:szCs w:val="26"/>
        </w:rPr>
        <w:t xml:space="preserve"> el proceso administrativo interpuesto por el ciudadano </w:t>
      </w:r>
      <w:r>
        <w:rPr>
          <w:rFonts w:ascii="Calibri" w:hAnsi="Calibri" w:cs="Arial"/>
          <w:color w:val="595959" w:themeColor="text1" w:themeTint="A6"/>
          <w:sz w:val="26"/>
          <w:szCs w:val="26"/>
        </w:rPr>
        <w:t>*****</w:t>
      </w:r>
      <w:r w:rsidRPr="003458D0">
        <w:rPr>
          <w:rFonts w:ascii="Calibri" w:hAnsi="Calibri" w:cs="Arial"/>
          <w:color w:val="595959" w:themeColor="text1" w:themeTint="A6"/>
          <w:sz w:val="26"/>
          <w:szCs w:val="26"/>
        </w:rPr>
        <w:t>, en contra de los actos impugnados</w:t>
      </w:r>
      <w:r w:rsidRPr="003458D0">
        <w:rPr>
          <w:rFonts w:ascii="Calibri" w:hAnsi="Calibri"/>
          <w:color w:val="595959" w:themeColor="text1" w:themeTint="A6"/>
          <w:sz w:val="26"/>
          <w:szCs w:val="26"/>
        </w:rPr>
        <w:t xml:space="preserve">. . . . . . . . </w:t>
      </w:r>
    </w:p>
    <w:p w:rsidR="003540B3" w:rsidRPr="003458D0" w:rsidRDefault="003540B3" w:rsidP="003540B3">
      <w:pPr>
        <w:ind w:firstLine="708"/>
        <w:jc w:val="both"/>
        <w:rPr>
          <w:rFonts w:ascii="Calibri" w:hAnsi="Calibri" w:cs="Arial"/>
          <w:b/>
          <w:bCs/>
          <w:color w:val="595959" w:themeColor="text1" w:themeTint="A6"/>
          <w:sz w:val="26"/>
          <w:szCs w:val="26"/>
        </w:rPr>
      </w:pPr>
    </w:p>
    <w:p w:rsidR="003540B3" w:rsidRPr="003458D0" w:rsidRDefault="003540B3" w:rsidP="003540B3">
      <w:pPr>
        <w:ind w:firstLine="708"/>
        <w:jc w:val="both"/>
        <w:rPr>
          <w:rFonts w:ascii="Calibri" w:hAnsi="Calibri" w:cs="Arial"/>
          <w:b/>
          <w:bCs/>
          <w:color w:val="595959" w:themeColor="text1" w:themeTint="A6"/>
          <w:sz w:val="26"/>
        </w:rPr>
      </w:pPr>
      <w:r w:rsidRPr="003458D0">
        <w:rPr>
          <w:rFonts w:ascii="Calibri" w:hAnsi="Calibri" w:cs="Arial"/>
          <w:b/>
          <w:bCs/>
          <w:i/>
          <w:iCs/>
          <w:color w:val="595959" w:themeColor="text1" w:themeTint="A6"/>
          <w:sz w:val="26"/>
          <w:szCs w:val="26"/>
        </w:rPr>
        <w:t xml:space="preserve">TERCERO.- </w:t>
      </w:r>
      <w:r w:rsidRPr="003458D0">
        <w:rPr>
          <w:rFonts w:ascii="Calibri" w:hAnsi="Calibri" w:cs="Arial"/>
          <w:color w:val="595959" w:themeColor="text1" w:themeTint="A6"/>
          <w:sz w:val="26"/>
        </w:rPr>
        <w:t xml:space="preserve">Se decreta </w:t>
      </w:r>
      <w:r w:rsidRPr="003458D0">
        <w:rPr>
          <w:rFonts w:ascii="Calibri" w:hAnsi="Calibri" w:cs="Arial"/>
          <w:bCs/>
          <w:color w:val="595959" w:themeColor="text1" w:themeTint="A6"/>
          <w:sz w:val="26"/>
        </w:rPr>
        <w:t>la</w:t>
      </w:r>
      <w:r w:rsidRPr="003458D0">
        <w:rPr>
          <w:rFonts w:ascii="Calibri" w:hAnsi="Calibri" w:cs="Arial"/>
          <w:b/>
          <w:bCs/>
          <w:color w:val="595959" w:themeColor="text1" w:themeTint="A6"/>
          <w:sz w:val="26"/>
        </w:rPr>
        <w:t xml:space="preserve"> nulidad total </w:t>
      </w:r>
      <w:r w:rsidRPr="003458D0">
        <w:rPr>
          <w:rFonts w:ascii="Calibri" w:hAnsi="Calibri" w:cs="Arial"/>
          <w:bCs/>
          <w:color w:val="595959" w:themeColor="text1" w:themeTint="A6"/>
          <w:sz w:val="26"/>
        </w:rPr>
        <w:t>de</w:t>
      </w:r>
      <w:r w:rsidRPr="003458D0">
        <w:rPr>
          <w:rFonts w:ascii="Calibri" w:hAnsi="Calibri" w:cs="Arial"/>
          <w:b/>
          <w:bCs/>
          <w:color w:val="595959" w:themeColor="text1" w:themeTint="A6"/>
          <w:sz w:val="26"/>
        </w:rPr>
        <w:t xml:space="preserve">: . . . . . . . . . . . . . . . . . . . . . . . . . . . </w:t>
      </w:r>
    </w:p>
    <w:p w:rsidR="003540B3" w:rsidRPr="003458D0" w:rsidRDefault="003540B3" w:rsidP="003540B3">
      <w:pPr>
        <w:ind w:firstLine="708"/>
        <w:jc w:val="both"/>
        <w:rPr>
          <w:rFonts w:ascii="Calibri" w:hAnsi="Calibri" w:cs="Arial"/>
          <w:b/>
          <w:bCs/>
          <w:color w:val="595959" w:themeColor="text1" w:themeTint="A6"/>
          <w:sz w:val="26"/>
        </w:rPr>
      </w:pPr>
    </w:p>
    <w:p w:rsidR="003540B3" w:rsidRPr="003458D0" w:rsidRDefault="003540B3" w:rsidP="003540B3">
      <w:pPr>
        <w:ind w:firstLine="708"/>
        <w:jc w:val="both"/>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 xml:space="preserve">a).- El </w:t>
      </w:r>
      <w:r w:rsidRPr="003458D0">
        <w:rPr>
          <w:rFonts w:ascii="Calibri" w:hAnsi="Calibri" w:cs="Arial"/>
          <w:b/>
          <w:color w:val="595959" w:themeColor="text1" w:themeTint="A6"/>
          <w:sz w:val="26"/>
          <w:szCs w:val="26"/>
        </w:rPr>
        <w:t>avalúo</w:t>
      </w:r>
      <w:r w:rsidRPr="003458D0">
        <w:rPr>
          <w:rFonts w:ascii="Calibri" w:hAnsi="Calibri" w:cs="Arial"/>
          <w:color w:val="595959" w:themeColor="text1" w:themeTint="A6"/>
          <w:sz w:val="26"/>
          <w:szCs w:val="26"/>
        </w:rPr>
        <w:t xml:space="preserve"> identificado con el número </w:t>
      </w:r>
      <w:r w:rsidRPr="003458D0">
        <w:rPr>
          <w:rFonts w:ascii="Calibri" w:hAnsi="Calibri" w:cs="Arial"/>
          <w:b/>
          <w:color w:val="595959" w:themeColor="text1" w:themeTint="A6"/>
          <w:sz w:val="26"/>
          <w:szCs w:val="26"/>
        </w:rPr>
        <w:t>1001956</w:t>
      </w:r>
      <w:r w:rsidRPr="00DB718C">
        <w:rPr>
          <w:rFonts w:ascii="Calibri" w:hAnsi="Calibri" w:cs="Arial"/>
          <w:b/>
          <w:color w:val="595959" w:themeColor="text1" w:themeTint="A6"/>
          <w:sz w:val="26"/>
          <w:szCs w:val="26"/>
        </w:rPr>
        <w:t>5</w:t>
      </w:r>
      <w:r w:rsidRPr="003458D0">
        <w:rPr>
          <w:rFonts w:ascii="Calibri" w:hAnsi="Calibri" w:cs="Arial"/>
          <w:color w:val="595959" w:themeColor="text1" w:themeTint="A6"/>
          <w:sz w:val="26"/>
          <w:szCs w:val="26"/>
        </w:rPr>
        <w:t xml:space="preserve"> (uno-cero-cero-uno-nueve-cinco-seis-cinco), de fecha </w:t>
      </w:r>
      <w:r w:rsidRPr="003458D0">
        <w:rPr>
          <w:rFonts w:ascii="Calibri" w:hAnsi="Calibri" w:cs="Arial"/>
          <w:b/>
          <w:color w:val="595959" w:themeColor="text1" w:themeTint="A6"/>
          <w:sz w:val="26"/>
          <w:szCs w:val="26"/>
        </w:rPr>
        <w:t>24</w:t>
      </w:r>
      <w:r w:rsidRPr="003458D0">
        <w:rPr>
          <w:rFonts w:ascii="Calibri" w:hAnsi="Calibri" w:cs="Arial"/>
          <w:color w:val="595959" w:themeColor="text1" w:themeTint="A6"/>
          <w:sz w:val="26"/>
          <w:szCs w:val="26"/>
        </w:rPr>
        <w:t xml:space="preserve"> veinticuatro de </w:t>
      </w:r>
      <w:r w:rsidRPr="003458D0">
        <w:rPr>
          <w:rFonts w:ascii="Calibri" w:hAnsi="Calibri" w:cs="Arial"/>
          <w:b/>
          <w:color w:val="595959" w:themeColor="text1" w:themeTint="A6"/>
          <w:sz w:val="26"/>
          <w:szCs w:val="26"/>
        </w:rPr>
        <w:t>febrero</w:t>
      </w:r>
      <w:r w:rsidRPr="003458D0">
        <w:rPr>
          <w:rFonts w:ascii="Calibri" w:hAnsi="Calibri" w:cs="Arial"/>
          <w:color w:val="595959" w:themeColor="text1" w:themeTint="A6"/>
          <w:sz w:val="26"/>
          <w:szCs w:val="26"/>
        </w:rPr>
        <w:t xml:space="preserve"> de </w:t>
      </w:r>
      <w:r w:rsidRPr="003458D0">
        <w:rPr>
          <w:rFonts w:ascii="Calibri" w:hAnsi="Calibri" w:cs="Arial"/>
          <w:b/>
          <w:color w:val="595959" w:themeColor="text1" w:themeTint="A6"/>
          <w:sz w:val="26"/>
          <w:szCs w:val="26"/>
        </w:rPr>
        <w:t>2010</w:t>
      </w:r>
      <w:r w:rsidRPr="003458D0">
        <w:rPr>
          <w:rFonts w:ascii="Calibri" w:hAnsi="Calibri" w:cs="Arial"/>
          <w:color w:val="595959" w:themeColor="text1" w:themeTint="A6"/>
          <w:sz w:val="26"/>
          <w:szCs w:val="26"/>
        </w:rPr>
        <w:t xml:space="preserve"> dos mil diez, mediante el cual se asignó al inmueble con cuenta 04-S-000130-001 (cero-cuatro-guion S guion cero-cero-cero-uno-tres-cero guion cero-cero-uno), el valor de </w:t>
      </w:r>
      <w:r w:rsidRPr="003458D0">
        <w:rPr>
          <w:rFonts w:ascii="Calibri" w:hAnsi="Calibri" w:cs="Arial"/>
          <w:b/>
          <w:color w:val="595959" w:themeColor="text1" w:themeTint="A6"/>
          <w:sz w:val="26"/>
          <w:szCs w:val="26"/>
        </w:rPr>
        <w:lastRenderedPageBreak/>
        <w:t>$14’594,333.00 (Catorce millones quinientos noventa y cuatro mil trescientos treinta y tres pesos 00/100 Moneda Nacional)</w:t>
      </w:r>
      <w:r w:rsidRPr="003458D0">
        <w:rPr>
          <w:rFonts w:ascii="Calibri" w:hAnsi="Calibri" w:cs="Arial"/>
          <w:color w:val="595959" w:themeColor="text1" w:themeTint="A6"/>
          <w:sz w:val="26"/>
          <w:szCs w:val="26"/>
        </w:rPr>
        <w:t xml:space="preserve">; así como la </w:t>
      </w:r>
      <w:r w:rsidRPr="003458D0">
        <w:rPr>
          <w:rFonts w:ascii="Calibri" w:hAnsi="Calibri" w:cs="Arial"/>
          <w:b/>
          <w:color w:val="595959" w:themeColor="text1" w:themeTint="A6"/>
          <w:sz w:val="26"/>
          <w:szCs w:val="26"/>
        </w:rPr>
        <w:t xml:space="preserve">nulidad total </w:t>
      </w:r>
      <w:r w:rsidRPr="003458D0">
        <w:rPr>
          <w:rFonts w:ascii="Calibri" w:hAnsi="Calibri" w:cs="Arial"/>
          <w:color w:val="595959" w:themeColor="text1" w:themeTint="A6"/>
          <w:sz w:val="26"/>
          <w:szCs w:val="26"/>
        </w:rPr>
        <w:t xml:space="preserve">del </w:t>
      </w:r>
      <w:r w:rsidRPr="003458D0">
        <w:rPr>
          <w:rFonts w:ascii="Calibri" w:hAnsi="Calibri" w:cs="Arial"/>
          <w:b/>
          <w:color w:val="595959" w:themeColor="text1" w:themeTint="A6"/>
          <w:sz w:val="26"/>
          <w:szCs w:val="26"/>
        </w:rPr>
        <w:t>valor</w:t>
      </w:r>
      <w:r w:rsidRPr="003458D0">
        <w:rPr>
          <w:rFonts w:ascii="Calibri" w:hAnsi="Calibri" w:cs="Arial"/>
          <w:color w:val="595959" w:themeColor="text1" w:themeTint="A6"/>
          <w:sz w:val="26"/>
          <w:szCs w:val="26"/>
        </w:rPr>
        <w:t xml:space="preserve"> antes citado y de </w:t>
      </w:r>
      <w:r w:rsidRPr="003458D0">
        <w:rPr>
          <w:rFonts w:ascii="Calibri" w:hAnsi="Calibri" w:cs="Arial"/>
          <w:b/>
          <w:color w:val="595959" w:themeColor="text1" w:themeTint="A6"/>
          <w:sz w:val="26"/>
          <w:szCs w:val="26"/>
        </w:rPr>
        <w:t xml:space="preserve">cualquier </w:t>
      </w:r>
      <w:r w:rsidRPr="003458D0">
        <w:rPr>
          <w:rFonts w:ascii="Calibri" w:hAnsi="Calibri" w:cs="Arial"/>
          <w:color w:val="595959" w:themeColor="text1" w:themeTint="A6"/>
          <w:sz w:val="26"/>
          <w:szCs w:val="26"/>
        </w:rPr>
        <w:t xml:space="preserve">otro </w:t>
      </w:r>
      <w:r w:rsidRPr="003458D0">
        <w:rPr>
          <w:rFonts w:ascii="Calibri" w:hAnsi="Calibri" w:cs="Arial"/>
          <w:b/>
          <w:color w:val="595959" w:themeColor="text1" w:themeTint="A6"/>
          <w:sz w:val="26"/>
          <w:szCs w:val="26"/>
        </w:rPr>
        <w:t>acto administrativo</w:t>
      </w:r>
      <w:r w:rsidRPr="003458D0">
        <w:rPr>
          <w:rFonts w:ascii="Calibri" w:hAnsi="Calibri" w:cs="Arial"/>
          <w:color w:val="595959" w:themeColor="text1" w:themeTint="A6"/>
          <w:sz w:val="26"/>
          <w:szCs w:val="26"/>
        </w:rPr>
        <w:t xml:space="preserve"> que tenga su sustento o sea consecuencia del avalúo y valor de los que se decreta su nulidad total, como lo sería, entre otros, la determinación del impuesto predial, el requerimiento de pago de ese impuesto y el mandamiento de embargo por dicho concepto, </w:t>
      </w:r>
      <w:r w:rsidRPr="003458D0">
        <w:rPr>
          <w:rFonts w:ascii="Calibri" w:hAnsi="Calibri"/>
          <w:bCs/>
          <w:color w:val="595959" w:themeColor="text1" w:themeTint="A6"/>
          <w:sz w:val="26"/>
          <w:szCs w:val="27"/>
        </w:rPr>
        <w:t>atendiendo al principio de que lo accesorio sigue la suerte de lo principal</w:t>
      </w:r>
      <w:r w:rsidRPr="003458D0">
        <w:rPr>
          <w:rFonts w:ascii="Calibri" w:hAnsi="Calibri" w:cs="Arial"/>
          <w:color w:val="595959" w:themeColor="text1" w:themeTint="A6"/>
          <w:sz w:val="26"/>
          <w:szCs w:val="26"/>
        </w:rPr>
        <w:t>. . . . . . . . . .</w:t>
      </w:r>
      <w:r w:rsidRPr="00DB718C">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 </w:t>
      </w:r>
    </w:p>
    <w:p w:rsidR="003540B3" w:rsidRPr="003458D0" w:rsidRDefault="003540B3" w:rsidP="003540B3">
      <w:pPr>
        <w:ind w:firstLine="708"/>
        <w:jc w:val="both"/>
        <w:rPr>
          <w:rFonts w:ascii="Calibri" w:hAnsi="Calibri" w:cs="Arial"/>
          <w:color w:val="595959" w:themeColor="text1" w:themeTint="A6"/>
          <w:sz w:val="26"/>
          <w:szCs w:val="26"/>
        </w:rPr>
      </w:pPr>
    </w:p>
    <w:p w:rsidR="003540B3" w:rsidRPr="003458D0" w:rsidRDefault="003540B3" w:rsidP="003540B3">
      <w:pPr>
        <w:ind w:firstLine="708"/>
        <w:jc w:val="both"/>
        <w:rPr>
          <w:rFonts w:ascii="Calibri" w:hAnsi="Calibri" w:cs="Arial"/>
          <w:b/>
          <w:bCs/>
          <w:color w:val="595959" w:themeColor="text1" w:themeTint="A6"/>
          <w:sz w:val="26"/>
        </w:rPr>
      </w:pPr>
      <w:r w:rsidRPr="003458D0">
        <w:rPr>
          <w:rFonts w:ascii="Calibri" w:hAnsi="Calibri" w:cs="Arial"/>
          <w:color w:val="595959" w:themeColor="text1" w:themeTint="A6"/>
          <w:sz w:val="26"/>
          <w:szCs w:val="26"/>
        </w:rPr>
        <w:t xml:space="preserve">b).- La </w:t>
      </w:r>
      <w:r w:rsidRPr="003458D0">
        <w:rPr>
          <w:rFonts w:ascii="Calibri" w:hAnsi="Calibri" w:cs="Arial"/>
          <w:b/>
          <w:color w:val="595959" w:themeColor="text1" w:themeTint="A6"/>
          <w:sz w:val="26"/>
          <w:szCs w:val="26"/>
        </w:rPr>
        <w:t xml:space="preserve">orden de valuación </w:t>
      </w:r>
      <w:r w:rsidRPr="003458D0">
        <w:rPr>
          <w:rFonts w:ascii="Calibri" w:hAnsi="Calibri" w:cs="Arial"/>
          <w:color w:val="595959" w:themeColor="text1" w:themeTint="A6"/>
          <w:sz w:val="26"/>
          <w:szCs w:val="26"/>
        </w:rPr>
        <w:t xml:space="preserve">folio </w:t>
      </w:r>
      <w:r w:rsidRPr="003458D0">
        <w:rPr>
          <w:rFonts w:ascii="Calibri" w:hAnsi="Calibri" w:cs="Arial"/>
          <w:b/>
          <w:color w:val="595959" w:themeColor="text1" w:themeTint="A6"/>
          <w:sz w:val="26"/>
          <w:szCs w:val="26"/>
        </w:rPr>
        <w:t>412470-13</w:t>
      </w:r>
      <w:r w:rsidRPr="003458D0">
        <w:rPr>
          <w:rFonts w:ascii="Calibri" w:hAnsi="Calibri" w:cs="Arial"/>
          <w:color w:val="595959" w:themeColor="text1" w:themeTint="A6"/>
          <w:sz w:val="26"/>
          <w:szCs w:val="26"/>
        </w:rPr>
        <w:t xml:space="preserve"> (cuatro-uno-dos-cuatro-siete-cero), de fecha </w:t>
      </w:r>
      <w:r w:rsidRPr="003458D0">
        <w:rPr>
          <w:rFonts w:ascii="Calibri" w:hAnsi="Calibri" w:cs="Arial"/>
          <w:b/>
          <w:color w:val="595959" w:themeColor="text1" w:themeTint="A6"/>
          <w:sz w:val="26"/>
          <w:szCs w:val="26"/>
        </w:rPr>
        <w:t>24</w:t>
      </w:r>
      <w:r w:rsidRPr="003458D0">
        <w:rPr>
          <w:rFonts w:ascii="Calibri" w:hAnsi="Calibri" w:cs="Arial"/>
          <w:color w:val="595959" w:themeColor="text1" w:themeTint="A6"/>
          <w:sz w:val="26"/>
          <w:szCs w:val="26"/>
        </w:rPr>
        <w:t xml:space="preserve"> veinticuatro de </w:t>
      </w:r>
      <w:r w:rsidRPr="003458D0">
        <w:rPr>
          <w:rFonts w:ascii="Calibri" w:hAnsi="Calibri" w:cs="Arial"/>
          <w:b/>
          <w:color w:val="595959" w:themeColor="text1" w:themeTint="A6"/>
          <w:sz w:val="26"/>
          <w:szCs w:val="26"/>
        </w:rPr>
        <w:t>abril</w:t>
      </w:r>
      <w:r w:rsidRPr="003458D0">
        <w:rPr>
          <w:rFonts w:ascii="Calibri" w:hAnsi="Calibri" w:cs="Arial"/>
          <w:color w:val="595959" w:themeColor="text1" w:themeTint="A6"/>
          <w:sz w:val="26"/>
          <w:szCs w:val="26"/>
        </w:rPr>
        <w:t xml:space="preserve"> del </w:t>
      </w:r>
      <w:r w:rsidRPr="003458D0">
        <w:rPr>
          <w:rFonts w:ascii="Calibri" w:hAnsi="Calibri" w:cs="Arial"/>
          <w:b/>
          <w:color w:val="595959" w:themeColor="text1" w:themeTint="A6"/>
          <w:sz w:val="26"/>
          <w:szCs w:val="26"/>
        </w:rPr>
        <w:t>2013</w:t>
      </w:r>
      <w:r w:rsidRPr="003458D0">
        <w:rPr>
          <w:rFonts w:ascii="Calibri" w:hAnsi="Calibri" w:cs="Arial"/>
          <w:color w:val="595959" w:themeColor="text1" w:themeTint="A6"/>
          <w:sz w:val="26"/>
          <w:szCs w:val="26"/>
        </w:rPr>
        <w:t xml:space="preserve"> dos mil trece; el avalúo identificado con el folio 412479 (cuatrocientos doce mil cuatrocientos setenta y nueve), de fecha </w:t>
      </w:r>
      <w:r w:rsidRPr="003458D0">
        <w:rPr>
          <w:rFonts w:ascii="Calibri" w:hAnsi="Calibri" w:cs="Arial"/>
          <w:b/>
          <w:color w:val="595959" w:themeColor="text1" w:themeTint="A6"/>
          <w:sz w:val="26"/>
          <w:szCs w:val="26"/>
        </w:rPr>
        <w:t>2</w:t>
      </w:r>
      <w:r w:rsidRPr="003458D0">
        <w:rPr>
          <w:rFonts w:ascii="Calibri" w:hAnsi="Calibri" w:cs="Arial"/>
          <w:color w:val="595959" w:themeColor="text1" w:themeTint="A6"/>
          <w:sz w:val="26"/>
          <w:szCs w:val="26"/>
        </w:rPr>
        <w:t xml:space="preserve"> dos de </w:t>
      </w:r>
      <w:r w:rsidRPr="003458D0">
        <w:rPr>
          <w:rFonts w:ascii="Calibri" w:hAnsi="Calibri" w:cs="Arial"/>
          <w:b/>
          <w:color w:val="595959" w:themeColor="text1" w:themeTint="A6"/>
          <w:sz w:val="26"/>
          <w:szCs w:val="26"/>
        </w:rPr>
        <w:t xml:space="preserve">mayo </w:t>
      </w:r>
      <w:r w:rsidRPr="003458D0">
        <w:rPr>
          <w:rFonts w:ascii="Calibri" w:hAnsi="Calibri" w:cs="Arial"/>
          <w:color w:val="595959" w:themeColor="text1" w:themeTint="A6"/>
          <w:sz w:val="26"/>
          <w:szCs w:val="26"/>
        </w:rPr>
        <w:t xml:space="preserve">del </w:t>
      </w:r>
      <w:r w:rsidRPr="003458D0">
        <w:rPr>
          <w:rFonts w:ascii="Calibri" w:hAnsi="Calibri" w:cs="Arial"/>
          <w:b/>
          <w:color w:val="595959" w:themeColor="text1" w:themeTint="A6"/>
          <w:sz w:val="26"/>
          <w:szCs w:val="26"/>
        </w:rPr>
        <w:t>2013</w:t>
      </w:r>
      <w:r w:rsidRPr="003458D0">
        <w:rPr>
          <w:rFonts w:ascii="Calibri" w:hAnsi="Calibri" w:cs="Arial"/>
          <w:color w:val="595959" w:themeColor="text1" w:themeTint="A6"/>
          <w:sz w:val="26"/>
          <w:szCs w:val="26"/>
        </w:rPr>
        <w:t xml:space="preserve"> dos mil trece, mediante el cual se asignó al inmueble con cuenta 04-S-000130-002 (cero-cuatro-guion S guion cero-cero-cero-uno-tres-cero guion cero-cero-dos), el valor de </w:t>
      </w:r>
      <w:r w:rsidRPr="003458D0">
        <w:rPr>
          <w:rFonts w:ascii="Calibri" w:hAnsi="Calibri" w:cs="Arial"/>
          <w:b/>
          <w:color w:val="595959" w:themeColor="text1" w:themeTint="A6"/>
          <w:sz w:val="26"/>
          <w:szCs w:val="26"/>
        </w:rPr>
        <w:t>$3’190,000.00 (Tres millones ciento noventa mil pesos 00/100 Moneda Nacional)</w:t>
      </w:r>
      <w:r w:rsidRPr="003458D0">
        <w:rPr>
          <w:rFonts w:ascii="Calibri" w:hAnsi="Calibri" w:cs="Arial"/>
          <w:color w:val="595959" w:themeColor="text1" w:themeTint="A6"/>
          <w:sz w:val="26"/>
          <w:szCs w:val="26"/>
        </w:rPr>
        <w:t xml:space="preserve">; así como la </w:t>
      </w:r>
      <w:r w:rsidRPr="003458D0">
        <w:rPr>
          <w:rFonts w:ascii="Calibri" w:hAnsi="Calibri" w:cs="Arial"/>
          <w:b/>
          <w:color w:val="595959" w:themeColor="text1" w:themeTint="A6"/>
          <w:sz w:val="26"/>
          <w:szCs w:val="26"/>
        </w:rPr>
        <w:t xml:space="preserve">nulidad total </w:t>
      </w:r>
      <w:r w:rsidRPr="003458D0">
        <w:rPr>
          <w:rFonts w:ascii="Calibri" w:hAnsi="Calibri" w:cs="Arial"/>
          <w:color w:val="595959" w:themeColor="text1" w:themeTint="A6"/>
          <w:sz w:val="26"/>
          <w:szCs w:val="26"/>
        </w:rPr>
        <w:t xml:space="preserve">del </w:t>
      </w:r>
      <w:r w:rsidRPr="003458D0">
        <w:rPr>
          <w:rFonts w:ascii="Calibri" w:hAnsi="Calibri" w:cs="Arial"/>
          <w:b/>
          <w:color w:val="595959" w:themeColor="text1" w:themeTint="A6"/>
          <w:sz w:val="26"/>
          <w:szCs w:val="26"/>
        </w:rPr>
        <w:t>valor</w:t>
      </w:r>
      <w:r w:rsidRPr="003458D0">
        <w:rPr>
          <w:rFonts w:ascii="Calibri" w:hAnsi="Calibri" w:cs="Arial"/>
          <w:color w:val="595959" w:themeColor="text1" w:themeTint="A6"/>
          <w:sz w:val="26"/>
          <w:szCs w:val="26"/>
        </w:rPr>
        <w:t xml:space="preserve"> antes citado y de </w:t>
      </w:r>
      <w:r w:rsidRPr="003458D0">
        <w:rPr>
          <w:rFonts w:ascii="Calibri" w:hAnsi="Calibri" w:cs="Arial"/>
          <w:b/>
          <w:color w:val="595959" w:themeColor="text1" w:themeTint="A6"/>
          <w:sz w:val="26"/>
          <w:szCs w:val="26"/>
        </w:rPr>
        <w:t xml:space="preserve">cualquier </w:t>
      </w:r>
      <w:r w:rsidRPr="003458D0">
        <w:rPr>
          <w:rFonts w:ascii="Calibri" w:hAnsi="Calibri" w:cs="Arial"/>
          <w:color w:val="595959" w:themeColor="text1" w:themeTint="A6"/>
          <w:sz w:val="26"/>
          <w:szCs w:val="26"/>
        </w:rPr>
        <w:t xml:space="preserve">otro </w:t>
      </w:r>
      <w:r w:rsidRPr="003458D0">
        <w:rPr>
          <w:rFonts w:ascii="Calibri" w:hAnsi="Calibri" w:cs="Arial"/>
          <w:b/>
          <w:color w:val="595959" w:themeColor="text1" w:themeTint="A6"/>
          <w:sz w:val="26"/>
          <w:szCs w:val="26"/>
        </w:rPr>
        <w:t>acto administrativo</w:t>
      </w:r>
      <w:r w:rsidRPr="003458D0">
        <w:rPr>
          <w:rFonts w:ascii="Calibri" w:hAnsi="Calibri" w:cs="Arial"/>
          <w:color w:val="595959" w:themeColor="text1" w:themeTint="A6"/>
          <w:sz w:val="26"/>
          <w:szCs w:val="26"/>
        </w:rPr>
        <w:t xml:space="preserve"> que tenga su soporte o sea resultado de la orden, avalúo y valor de los que se decreta su nulidad total, como lo sería, entre otros, la determinación del impuesto predial, el requerimiento de pago de ese impuesto y el mandamiento de embargo por dicho concepto, </w:t>
      </w:r>
      <w:r w:rsidRPr="003458D0">
        <w:rPr>
          <w:rFonts w:ascii="Calibri" w:hAnsi="Calibri"/>
          <w:bCs/>
          <w:color w:val="595959" w:themeColor="text1" w:themeTint="A6"/>
          <w:sz w:val="26"/>
          <w:szCs w:val="27"/>
        </w:rPr>
        <w:t>atendiendo al principio de que lo accesorio sigue la suerte de lo principal. . . .</w:t>
      </w:r>
      <w:r>
        <w:rPr>
          <w:rFonts w:ascii="Calibri" w:hAnsi="Calibri"/>
          <w:bCs/>
          <w:color w:val="595959" w:themeColor="text1" w:themeTint="A6"/>
          <w:sz w:val="26"/>
          <w:szCs w:val="27"/>
        </w:rPr>
        <w:t xml:space="preserve"> . . .</w:t>
      </w:r>
    </w:p>
    <w:p w:rsidR="003540B3" w:rsidRPr="003458D0" w:rsidRDefault="003540B3" w:rsidP="003540B3">
      <w:pPr>
        <w:ind w:firstLine="708"/>
        <w:jc w:val="both"/>
        <w:rPr>
          <w:rFonts w:ascii="Calibri" w:hAnsi="Calibri" w:cs="Arial"/>
          <w:b/>
          <w:bCs/>
          <w:color w:val="595959" w:themeColor="text1" w:themeTint="A6"/>
          <w:sz w:val="26"/>
        </w:rPr>
      </w:pPr>
    </w:p>
    <w:p w:rsidR="003540B3" w:rsidRPr="003458D0" w:rsidRDefault="003540B3" w:rsidP="003540B3">
      <w:pPr>
        <w:ind w:firstLine="708"/>
        <w:jc w:val="both"/>
        <w:rPr>
          <w:rFonts w:ascii="Calibri" w:hAnsi="Calibri" w:cs="Arial"/>
          <w:b/>
          <w:bCs/>
          <w:color w:val="595959" w:themeColor="text1" w:themeTint="A6"/>
          <w:sz w:val="26"/>
        </w:rPr>
      </w:pPr>
      <w:r w:rsidRPr="003458D0">
        <w:rPr>
          <w:rFonts w:ascii="Calibri" w:hAnsi="Calibri" w:cs="Arial"/>
          <w:bCs/>
          <w:color w:val="595959" w:themeColor="text1" w:themeTint="A6"/>
          <w:sz w:val="26"/>
        </w:rPr>
        <w:t>Todo</w:t>
      </w:r>
      <w:r w:rsidRPr="003458D0">
        <w:rPr>
          <w:rFonts w:ascii="Calibri" w:hAnsi="Calibri" w:cs="Arial"/>
          <w:b/>
          <w:bCs/>
          <w:color w:val="595959" w:themeColor="text1" w:themeTint="A6"/>
          <w:sz w:val="26"/>
        </w:rPr>
        <w:t xml:space="preserve"> lo anterior, </w:t>
      </w:r>
      <w:r w:rsidRPr="003458D0">
        <w:rPr>
          <w:rFonts w:ascii="Calibri" w:hAnsi="Calibri"/>
          <w:color w:val="595959" w:themeColor="text1" w:themeTint="A6"/>
          <w:sz w:val="26"/>
          <w:szCs w:val="26"/>
        </w:rPr>
        <w:t>en base a</w:t>
      </w:r>
      <w:r w:rsidRPr="003458D0">
        <w:rPr>
          <w:rFonts w:ascii="Calibri" w:hAnsi="Calibri" w:cs="Arial"/>
          <w:color w:val="595959" w:themeColor="text1" w:themeTint="A6"/>
          <w:sz w:val="26"/>
          <w:szCs w:val="26"/>
        </w:rPr>
        <w:t xml:space="preserve"> las consideraciones lógicas y jurídicas y términos contenidos en el Considerando Sexto de la presente sentencia. . . . . . . . </w:t>
      </w:r>
      <w:r>
        <w:rPr>
          <w:rFonts w:ascii="Calibri" w:hAnsi="Calibri" w:cs="Arial"/>
          <w:color w:val="595959" w:themeColor="text1" w:themeTint="A6"/>
          <w:sz w:val="26"/>
          <w:szCs w:val="26"/>
        </w:rPr>
        <w:t>. . . . . . . . .</w:t>
      </w:r>
    </w:p>
    <w:p w:rsidR="003540B3" w:rsidRPr="003458D0" w:rsidRDefault="003540B3" w:rsidP="003540B3">
      <w:pPr>
        <w:pStyle w:val="Textoindependiente"/>
        <w:rPr>
          <w:rFonts w:ascii="Calibri" w:hAnsi="Calibri"/>
          <w:color w:val="595959" w:themeColor="text1" w:themeTint="A6"/>
          <w:sz w:val="26"/>
        </w:rPr>
      </w:pPr>
      <w:r w:rsidRPr="003458D0">
        <w:rPr>
          <w:rFonts w:ascii="Calibri" w:hAnsi="Calibri"/>
          <w:color w:val="595959" w:themeColor="text1" w:themeTint="A6"/>
          <w:sz w:val="26"/>
        </w:rPr>
        <w:t xml:space="preserve"> </w:t>
      </w:r>
    </w:p>
    <w:p w:rsidR="003540B3" w:rsidRPr="003458D0" w:rsidRDefault="003540B3" w:rsidP="003540B3">
      <w:pPr>
        <w:pStyle w:val="Textoindependiente"/>
        <w:ind w:firstLine="708"/>
        <w:rPr>
          <w:rFonts w:ascii="Calibri" w:hAnsi="Calibri" w:cs="Arial"/>
          <w:color w:val="595959" w:themeColor="text1" w:themeTint="A6"/>
          <w:sz w:val="26"/>
          <w:szCs w:val="26"/>
        </w:rPr>
      </w:pPr>
      <w:r w:rsidRPr="003458D0">
        <w:rPr>
          <w:rFonts w:ascii="Calibri" w:hAnsi="Calibri" w:cs="Arial"/>
          <w:color w:val="595959" w:themeColor="text1" w:themeTint="A6"/>
          <w:sz w:val="26"/>
          <w:szCs w:val="26"/>
        </w:rPr>
        <w:t xml:space="preserve">Notifíquese a las autoridades demandadas por oficio y a la parte actora personalmente. . . . . . . . . . . . . . . . . . . . . . . . . . . . . . . . . . . . . . . . . . . . . . . . . . . . . . . . </w:t>
      </w:r>
    </w:p>
    <w:p w:rsidR="003540B3" w:rsidRPr="003458D0" w:rsidRDefault="003540B3" w:rsidP="003540B3">
      <w:pPr>
        <w:pStyle w:val="Textoindependiente"/>
        <w:rPr>
          <w:rFonts w:ascii="Calibri" w:hAnsi="Calibri" w:cs="Arial"/>
          <w:color w:val="595959" w:themeColor="text1" w:themeTint="A6"/>
          <w:sz w:val="26"/>
          <w:szCs w:val="26"/>
        </w:rPr>
      </w:pPr>
    </w:p>
    <w:p w:rsidR="003540B3" w:rsidRPr="003458D0" w:rsidRDefault="003540B3" w:rsidP="003540B3">
      <w:pPr>
        <w:pStyle w:val="Textoindependiente"/>
        <w:rPr>
          <w:rFonts w:ascii="Calibri" w:hAnsi="Calibri" w:cs="Arial"/>
          <w:b/>
          <w:bCs/>
          <w:color w:val="595959" w:themeColor="text1" w:themeTint="A6"/>
          <w:sz w:val="26"/>
          <w:szCs w:val="26"/>
        </w:rPr>
      </w:pPr>
      <w:r w:rsidRPr="003458D0">
        <w:rPr>
          <w:rFonts w:ascii="Calibri" w:hAnsi="Calibri" w:cs="Arial"/>
          <w:color w:val="595959" w:themeColor="text1" w:themeTint="A6"/>
          <w:sz w:val="26"/>
          <w:szCs w:val="26"/>
        </w:rPr>
        <w:tab/>
        <w:t>En su oportunidad, archívese este expediente, como asunto totalmente concluido y dese de baja en el Libro de Registros que se lleva para tal efecto. . . . .</w:t>
      </w:r>
    </w:p>
    <w:p w:rsidR="003540B3" w:rsidRPr="003458D0" w:rsidRDefault="003540B3" w:rsidP="003540B3">
      <w:pPr>
        <w:pStyle w:val="Textoindependiente"/>
        <w:rPr>
          <w:rFonts w:ascii="Calibri" w:hAnsi="Calibri" w:cs="Arial"/>
          <w:color w:val="595959" w:themeColor="text1" w:themeTint="A6"/>
          <w:sz w:val="26"/>
          <w:szCs w:val="26"/>
        </w:rPr>
      </w:pPr>
    </w:p>
    <w:p w:rsidR="00760929" w:rsidRDefault="003540B3" w:rsidP="003540B3">
      <w:pPr>
        <w:pStyle w:val="Textoindependiente"/>
        <w:ind w:firstLine="708"/>
      </w:pPr>
      <w:r w:rsidRPr="003458D0">
        <w:rPr>
          <w:rFonts w:ascii="Calibri" w:hAnsi="Calibri"/>
          <w:color w:val="595959" w:themeColor="text1" w:themeTint="A6"/>
          <w:sz w:val="26"/>
          <w:szCs w:val="26"/>
        </w:rPr>
        <w:t xml:space="preserve">Así lo resolvió y firma el Licenciado </w:t>
      </w:r>
      <w:r w:rsidRPr="003458D0">
        <w:rPr>
          <w:rFonts w:ascii="Calibri" w:hAnsi="Calibri"/>
          <w:b/>
          <w:bCs/>
          <w:color w:val="595959" w:themeColor="text1" w:themeTint="A6"/>
          <w:sz w:val="26"/>
          <w:szCs w:val="26"/>
        </w:rPr>
        <w:t>Ernesto Alejandro Mora Álvarez</w:t>
      </w:r>
      <w:r w:rsidRPr="003458D0">
        <w:rPr>
          <w:rFonts w:ascii="Calibri" w:hAnsi="Calibri"/>
          <w:color w:val="595959" w:themeColor="text1" w:themeTint="A6"/>
          <w:sz w:val="26"/>
          <w:szCs w:val="26"/>
        </w:rPr>
        <w:t xml:space="preserve">, Juez Segundo Administrativo Municipal de León, Guanajuato, quien actúa asistido en forma legal con Secretario de Estudio y Cuenta, designado mediante oficio J.S.A.M./055 /2017 de fecha 6 de julio del año en curso, Licenciado </w:t>
      </w:r>
      <w:r w:rsidRPr="00736697">
        <w:rPr>
          <w:rFonts w:ascii="Calibri" w:hAnsi="Calibri"/>
          <w:b/>
          <w:color w:val="595959" w:themeColor="text1" w:themeTint="A6"/>
          <w:sz w:val="26"/>
          <w:szCs w:val="26"/>
        </w:rPr>
        <w:t>Carlos Alberto Muñoz Vargas</w:t>
      </w:r>
      <w:r w:rsidRPr="003458D0">
        <w:rPr>
          <w:rFonts w:ascii="Calibri" w:hAnsi="Calibri"/>
          <w:color w:val="595959" w:themeColor="text1" w:themeTint="A6"/>
          <w:sz w:val="26"/>
          <w:szCs w:val="26"/>
        </w:rPr>
        <w:t xml:space="preserve">,  quien da fe. . . . . . . . . . . . . . . . . . . . . . . . . . . . . . . . . . . . . . . . . . </w:t>
      </w:r>
      <w:r>
        <w:rPr>
          <w:rFonts w:ascii="Calibri" w:hAnsi="Calibri"/>
          <w:color w:val="595959" w:themeColor="text1" w:themeTint="A6"/>
          <w:sz w:val="26"/>
          <w:szCs w:val="26"/>
        </w:rPr>
        <w:t xml:space="preserve">. . . . </w:t>
      </w:r>
    </w:p>
    <w:sectPr w:rsidR="00760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0B3"/>
    <w:rsid w:val="003540B3"/>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7B788-A99D-4F09-B88F-94074FA1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0B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540B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540B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540B3"/>
    <w:pPr>
      <w:jc w:val="both"/>
    </w:pPr>
    <w:rPr>
      <w:lang w:val="es-MX"/>
    </w:rPr>
  </w:style>
  <w:style w:type="character" w:customStyle="1" w:styleId="TextoindependienteCar">
    <w:name w:val="Texto independiente Car"/>
    <w:basedOn w:val="Fuentedeprrafopredeter"/>
    <w:link w:val="Textoindependiente"/>
    <w:rsid w:val="003540B3"/>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3540B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540B3"/>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uiPriority w:val="99"/>
    <w:semiHidden/>
    <w:rsid w:val="003540B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3540B3"/>
    <w:rPr>
      <w:rFonts w:ascii="Times New Roman" w:eastAsia="Times New Roman" w:hAnsi="Times New Roman" w:cs="Times New Roman"/>
      <w:sz w:val="24"/>
      <w:szCs w:val="24"/>
      <w:lang w:eastAsia="es-ES"/>
    </w:rPr>
  </w:style>
  <w:style w:type="paragraph" w:customStyle="1" w:styleId="Normal0">
    <w:name w:val="[Normal]"/>
    <w:rsid w:val="003540B3"/>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2detindependiente">
    <w:name w:val="Body Text Indent 2"/>
    <w:basedOn w:val="Normal"/>
    <w:link w:val="Sangra2detindependienteCar"/>
    <w:uiPriority w:val="99"/>
    <w:semiHidden/>
    <w:unhideWhenUsed/>
    <w:rsid w:val="003540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540B3"/>
    <w:rPr>
      <w:rFonts w:ascii="Times New Roman" w:eastAsia="Calibri" w:hAnsi="Times New Roman" w:cs="Times New Roman"/>
      <w:sz w:val="24"/>
      <w:szCs w:val="24"/>
      <w:lang w:val="es-ES" w:eastAsia="es-ES"/>
    </w:rPr>
  </w:style>
  <w:style w:type="character" w:styleId="Hipervnculo">
    <w:name w:val="Hyperlink"/>
    <w:basedOn w:val="Fuentedeprrafopredeter"/>
    <w:uiPriority w:val="99"/>
    <w:unhideWhenUsed/>
    <w:rsid w:val="003540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iterios.tcagto.gob.mx/2000-2010/criterios-2000-20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5788</Words>
  <Characters>31836</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2017-11-01T15:21:00Z</dcterms:created>
  <dcterms:modified xsi:type="dcterms:W3CDTF">2017-11-01T15:26:00Z</dcterms:modified>
</cp:coreProperties>
</file>